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55D05" w14:textId="77777777" w:rsidR="0001251E" w:rsidRDefault="00C969AA">
      <w:pPr>
        <w:pStyle w:val="Title"/>
        <w:spacing w:before="200"/>
        <w:jc w:val="center"/>
        <w:rPr>
          <w:rFonts w:ascii="Arial Nova Light" w:hAnsi="Arial Nova Light"/>
        </w:rPr>
      </w:pPr>
      <w:r>
        <w:rPr>
          <w:rFonts w:ascii="Arial Nova Light" w:hAnsi="Arial Nova Light"/>
        </w:rPr>
        <w:t xml:space="preserve">Islamic Finance as a Catalyst for Sustainable Halal Startup Growth: Integrating Circular Economy Principles </w:t>
      </w:r>
    </w:p>
    <w:p w14:paraId="5FE0350E" w14:textId="37FB40E5" w:rsidR="00A97C24" w:rsidRPr="00F57F77" w:rsidRDefault="00C969AA">
      <w:pPr>
        <w:pStyle w:val="Title"/>
        <w:spacing w:before="200"/>
        <w:jc w:val="center"/>
        <w:rPr>
          <w:rFonts w:ascii="Arial Nova Light" w:hAnsi="Arial Nova Light"/>
        </w:rPr>
      </w:pPr>
      <w:r>
        <w:rPr>
          <w:rFonts w:ascii="Arial Nova Light" w:hAnsi="Arial Nova Light"/>
        </w:rPr>
        <w:t>and Global Market Readiness</w:t>
      </w:r>
    </w:p>
    <w:p w14:paraId="37603C65" w14:textId="77777777" w:rsidR="00A97C24" w:rsidRPr="00F57F77" w:rsidRDefault="00A97C24">
      <w:pPr>
        <w:jc w:val="center"/>
        <w:rPr>
          <w:rFonts w:ascii="Arial Nova Light" w:hAnsi="Arial Nova Light"/>
        </w:rPr>
      </w:pPr>
    </w:p>
    <w:p w14:paraId="4E317CB3" w14:textId="77777777" w:rsidR="0001251E" w:rsidRDefault="00C969AA" w:rsidP="0001251E">
      <w:pPr>
        <w:spacing w:after="0"/>
        <w:jc w:val="center"/>
        <w:rPr>
          <w:rFonts w:ascii="Arial Nova Light" w:hAnsi="Arial Nova Light"/>
          <w:b/>
          <w:bCs/>
          <w:sz w:val="24"/>
          <w:szCs w:val="24"/>
          <w:vertAlign w:val="superscript"/>
        </w:rPr>
      </w:pPr>
      <w:r>
        <w:rPr>
          <w:rFonts w:ascii="Arial Nova Light" w:hAnsi="Arial Nova Light"/>
          <w:b/>
          <w:bCs/>
          <w:sz w:val="24"/>
          <w:szCs w:val="24"/>
        </w:rPr>
        <w:t>Saiful Bakhri</w:t>
      </w:r>
      <w:r w:rsidR="0001251E" w:rsidRPr="0001251E">
        <w:rPr>
          <w:rFonts w:ascii="Arial Nova Light" w:hAnsi="Arial Nova Light"/>
          <w:b/>
          <w:bCs/>
          <w:sz w:val="24"/>
          <w:szCs w:val="24"/>
          <w:vertAlign w:val="superscript"/>
        </w:rPr>
        <w:t>1</w:t>
      </w:r>
      <w:r w:rsidR="0001251E">
        <w:rPr>
          <w:rFonts w:ascii="Arial Nova Light" w:hAnsi="Arial Nova Light"/>
          <w:b/>
          <w:bCs/>
          <w:sz w:val="24"/>
          <w:szCs w:val="24"/>
        </w:rPr>
        <w:t>*</w:t>
      </w:r>
      <w:r>
        <w:rPr>
          <w:rFonts w:ascii="Arial Nova Light" w:hAnsi="Arial Nova Light"/>
          <w:b/>
          <w:bCs/>
          <w:sz w:val="24"/>
          <w:szCs w:val="24"/>
        </w:rPr>
        <w:t>,</w:t>
      </w:r>
      <w:r w:rsidR="0001251E">
        <w:rPr>
          <w:rFonts w:ascii="Arial Nova Light" w:hAnsi="Arial Nova Light"/>
          <w:b/>
          <w:bCs/>
          <w:sz w:val="24"/>
          <w:szCs w:val="24"/>
        </w:rPr>
        <w:t xml:space="preserve"> </w:t>
      </w:r>
      <w:proofErr w:type="spellStart"/>
      <w:r w:rsidR="0001251E" w:rsidRPr="0001251E">
        <w:rPr>
          <w:rFonts w:ascii="Arial Nova Light" w:hAnsi="Arial Nova Light"/>
          <w:b/>
          <w:bCs/>
          <w:sz w:val="24"/>
          <w:szCs w:val="24"/>
        </w:rPr>
        <w:t>Naili</w:t>
      </w:r>
      <w:proofErr w:type="spellEnd"/>
      <w:r w:rsidR="0001251E" w:rsidRPr="0001251E">
        <w:rPr>
          <w:rFonts w:ascii="Arial Nova Light" w:hAnsi="Arial Nova Light"/>
          <w:b/>
          <w:bCs/>
          <w:sz w:val="24"/>
          <w:szCs w:val="24"/>
        </w:rPr>
        <w:t xml:space="preserve"> </w:t>
      </w:r>
      <w:proofErr w:type="spellStart"/>
      <w:r w:rsidR="0001251E" w:rsidRPr="0001251E">
        <w:rPr>
          <w:rFonts w:ascii="Arial Nova Light" w:hAnsi="Arial Nova Light"/>
          <w:b/>
          <w:bCs/>
          <w:sz w:val="24"/>
          <w:szCs w:val="24"/>
        </w:rPr>
        <w:t>Amalin</w:t>
      </w:r>
      <w:proofErr w:type="spellEnd"/>
      <w:r w:rsidR="0001251E" w:rsidRPr="0001251E">
        <w:rPr>
          <w:rFonts w:ascii="Arial Nova Light" w:hAnsi="Arial Nova Light"/>
          <w:b/>
          <w:bCs/>
          <w:sz w:val="24"/>
          <w:szCs w:val="24"/>
        </w:rPr>
        <w:t xml:space="preserve"> Nafila</w:t>
      </w:r>
      <w:r w:rsidR="0001251E" w:rsidRPr="0001251E">
        <w:rPr>
          <w:rFonts w:ascii="Arial Nova Light" w:hAnsi="Arial Nova Light"/>
          <w:b/>
          <w:bCs/>
          <w:sz w:val="24"/>
          <w:szCs w:val="24"/>
          <w:vertAlign w:val="superscript"/>
        </w:rPr>
        <w:t>2</w:t>
      </w:r>
      <w:r w:rsidR="0001251E" w:rsidRPr="0001251E">
        <w:rPr>
          <w:rFonts w:ascii="Arial Nova Light" w:hAnsi="Arial Nova Light"/>
          <w:b/>
          <w:bCs/>
          <w:sz w:val="24"/>
          <w:szCs w:val="24"/>
        </w:rPr>
        <w:t>,</w:t>
      </w:r>
      <w:r w:rsidR="0001251E" w:rsidRPr="0001251E">
        <w:rPr>
          <w:rFonts w:ascii="Arial Nova Light" w:hAnsi="Arial Nova Light"/>
          <w:b/>
          <w:bCs/>
          <w:sz w:val="24"/>
          <w:szCs w:val="24"/>
        </w:rPr>
        <w:t xml:space="preserve"> Muhammad </w:t>
      </w:r>
      <w:proofErr w:type="spellStart"/>
      <w:r w:rsidR="0001251E" w:rsidRPr="0001251E">
        <w:rPr>
          <w:rFonts w:ascii="Arial Nova Light" w:hAnsi="Arial Nova Light"/>
          <w:b/>
          <w:bCs/>
          <w:sz w:val="24"/>
          <w:szCs w:val="24"/>
        </w:rPr>
        <w:t>Rizky</w:t>
      </w:r>
      <w:proofErr w:type="spellEnd"/>
      <w:r w:rsidR="0001251E" w:rsidRPr="0001251E">
        <w:rPr>
          <w:rFonts w:ascii="Arial Nova Light" w:hAnsi="Arial Nova Light"/>
          <w:b/>
          <w:bCs/>
          <w:sz w:val="24"/>
          <w:szCs w:val="24"/>
        </w:rPr>
        <w:t xml:space="preserve"> Prima Sakti</w:t>
      </w:r>
      <w:r w:rsidR="0001251E">
        <w:rPr>
          <w:rFonts w:ascii="Arial Nova Light" w:hAnsi="Arial Nova Light"/>
          <w:b/>
          <w:bCs/>
          <w:sz w:val="24"/>
          <w:szCs w:val="24"/>
          <w:vertAlign w:val="superscript"/>
        </w:rPr>
        <w:t xml:space="preserve">3 </w:t>
      </w:r>
    </w:p>
    <w:p w14:paraId="629B0899" w14:textId="3DB7C5F1" w:rsidR="00A97C24" w:rsidRPr="00AC6EC5" w:rsidRDefault="0001251E" w:rsidP="0001251E">
      <w:pPr>
        <w:jc w:val="center"/>
        <w:rPr>
          <w:rFonts w:ascii="Arial Nova Light" w:hAnsi="Arial Nova Light"/>
          <w:b/>
          <w:bCs/>
          <w:sz w:val="24"/>
          <w:szCs w:val="24"/>
        </w:rPr>
      </w:pPr>
      <w:r w:rsidRPr="0001251E">
        <w:rPr>
          <w:rFonts w:ascii="Arial Nova Light" w:hAnsi="Arial Nova Light"/>
          <w:b/>
          <w:bCs/>
          <w:sz w:val="24"/>
          <w:szCs w:val="24"/>
        </w:rPr>
        <w:t>&amp;</w:t>
      </w:r>
      <w:proofErr w:type="spellStart"/>
      <w:r w:rsidRPr="0001251E">
        <w:rPr>
          <w:rFonts w:ascii="Arial Nova Light" w:hAnsi="Arial Nova Light"/>
          <w:b/>
          <w:bCs/>
          <w:sz w:val="24"/>
          <w:szCs w:val="24"/>
        </w:rPr>
        <w:t>Hainnuraqma</w:t>
      </w:r>
      <w:proofErr w:type="spellEnd"/>
      <w:r w:rsidRPr="0001251E">
        <w:rPr>
          <w:rFonts w:ascii="Arial Nova Light" w:hAnsi="Arial Nova Light"/>
          <w:b/>
          <w:bCs/>
          <w:sz w:val="24"/>
          <w:szCs w:val="24"/>
        </w:rPr>
        <w:t xml:space="preserve"> Rahim</w:t>
      </w:r>
      <w:r>
        <w:rPr>
          <w:rFonts w:ascii="Arial Nova Light" w:hAnsi="Arial Nova Light"/>
          <w:b/>
          <w:bCs/>
          <w:sz w:val="24"/>
          <w:szCs w:val="24"/>
          <w:vertAlign w:val="superscript"/>
        </w:rPr>
        <w:t>4</w:t>
      </w:r>
      <w:r w:rsidRPr="0001251E">
        <w:rPr>
          <w:rFonts w:ascii="Arial Nova Light" w:hAnsi="Arial Nova Light"/>
          <w:b/>
          <w:bCs/>
          <w:sz w:val="24"/>
          <w:szCs w:val="24"/>
          <w:vertAlign w:val="superscript"/>
        </w:rPr>
        <w:t>  </w:t>
      </w:r>
    </w:p>
    <w:p w14:paraId="70A5CE24" w14:textId="222AE74E" w:rsidR="00A97C24" w:rsidRPr="0001251E" w:rsidRDefault="0001251E">
      <w:pPr>
        <w:pBdr>
          <w:top w:val="nil"/>
          <w:left w:val="nil"/>
          <w:bottom w:val="nil"/>
          <w:right w:val="nil"/>
          <w:between w:val="nil"/>
        </w:pBdr>
        <w:spacing w:after="0"/>
        <w:jc w:val="center"/>
        <w:rPr>
          <w:rFonts w:ascii="Arial Nova Light" w:hAnsi="Arial Nova Light"/>
          <w:color w:val="000000"/>
        </w:rPr>
      </w:pPr>
      <w:r w:rsidRPr="0001251E">
        <w:rPr>
          <w:rFonts w:ascii="Arial Nova Light" w:hAnsi="Arial Nova Light"/>
          <w:color w:val="000000"/>
          <w:vertAlign w:val="superscript"/>
        </w:rPr>
        <w:t>1</w:t>
      </w:r>
      <w:r>
        <w:rPr>
          <w:rFonts w:ascii="Arial Nova Light" w:hAnsi="Arial Nova Light"/>
          <w:color w:val="000000"/>
          <w:vertAlign w:val="superscript"/>
        </w:rPr>
        <w:t>,2</w:t>
      </w:r>
      <w:r w:rsidR="00000000" w:rsidRPr="0001251E">
        <w:rPr>
          <w:rFonts w:ascii="Arial Nova Light" w:hAnsi="Arial Nova Light"/>
          <w:color w:val="000000"/>
        </w:rPr>
        <w:t xml:space="preserve">Universitas </w:t>
      </w:r>
      <w:proofErr w:type="spellStart"/>
      <w:r w:rsidR="00000000" w:rsidRPr="0001251E">
        <w:rPr>
          <w:rFonts w:ascii="Arial Nova Light" w:hAnsi="Arial Nova Light"/>
          <w:color w:val="000000"/>
        </w:rPr>
        <w:t>Nahdlatul</w:t>
      </w:r>
      <w:proofErr w:type="spellEnd"/>
      <w:r w:rsidR="00000000" w:rsidRPr="0001251E">
        <w:rPr>
          <w:rFonts w:ascii="Arial Nova Light" w:hAnsi="Arial Nova Light"/>
          <w:color w:val="000000"/>
        </w:rPr>
        <w:t xml:space="preserve"> Ulama </w:t>
      </w:r>
      <w:proofErr w:type="spellStart"/>
      <w:r w:rsidR="00000000" w:rsidRPr="0001251E">
        <w:rPr>
          <w:rFonts w:ascii="Arial Nova Light" w:hAnsi="Arial Nova Light"/>
          <w:color w:val="000000"/>
        </w:rPr>
        <w:t>Pasuruan</w:t>
      </w:r>
      <w:proofErr w:type="spellEnd"/>
      <w:r w:rsidR="00000000" w:rsidRPr="0001251E">
        <w:rPr>
          <w:rFonts w:ascii="Arial Nova Light" w:hAnsi="Arial Nova Light"/>
          <w:color w:val="000000"/>
        </w:rPr>
        <w:t>, Indonesia</w:t>
      </w:r>
    </w:p>
    <w:p w14:paraId="661B2441" w14:textId="77777777" w:rsidR="0001251E" w:rsidRDefault="0001251E" w:rsidP="0001251E">
      <w:pPr>
        <w:pBdr>
          <w:top w:val="nil"/>
          <w:left w:val="nil"/>
          <w:bottom w:val="nil"/>
          <w:right w:val="nil"/>
          <w:between w:val="nil"/>
        </w:pBdr>
        <w:spacing w:after="0"/>
        <w:jc w:val="center"/>
        <w:rPr>
          <w:rFonts w:ascii="Arial Nova Light" w:hAnsi="Arial Nova Light"/>
          <w:color w:val="000000"/>
        </w:rPr>
      </w:pPr>
      <w:r>
        <w:rPr>
          <w:rFonts w:ascii="Arial Nova Light" w:hAnsi="Arial Nova Light"/>
          <w:color w:val="000000"/>
          <w:vertAlign w:val="superscript"/>
        </w:rPr>
        <w:t>3</w:t>
      </w:r>
      <w:r w:rsidRPr="0001251E">
        <w:rPr>
          <w:rFonts w:ascii="Arial Nova Light" w:hAnsi="Arial Nova Light"/>
          <w:color w:val="000000"/>
        </w:rPr>
        <w:t xml:space="preserve">Islamic Finance Department of Business Administration </w:t>
      </w:r>
    </w:p>
    <w:p w14:paraId="27695C09" w14:textId="2F2F4C12" w:rsidR="0001251E" w:rsidRPr="0001251E" w:rsidRDefault="0001251E" w:rsidP="0001251E">
      <w:pPr>
        <w:pBdr>
          <w:top w:val="nil"/>
          <w:left w:val="nil"/>
          <w:bottom w:val="nil"/>
          <w:right w:val="nil"/>
          <w:between w:val="nil"/>
        </w:pBdr>
        <w:spacing w:after="0"/>
        <w:jc w:val="center"/>
        <w:rPr>
          <w:rFonts w:ascii="Arial Nova Light" w:hAnsi="Arial Nova Light"/>
          <w:color w:val="000000"/>
        </w:rPr>
      </w:pPr>
      <w:r w:rsidRPr="0001251E">
        <w:rPr>
          <w:rFonts w:ascii="Arial Nova Light" w:hAnsi="Arial Nova Light"/>
          <w:color w:val="000000"/>
        </w:rPr>
        <w:t>University College of Bahrain (UCB) Kingdom of Bahrain</w:t>
      </w:r>
      <w:r>
        <w:rPr>
          <w:rFonts w:ascii="Arial Nova Light" w:hAnsi="Arial Nova Light"/>
          <w:color w:val="000000"/>
        </w:rPr>
        <w:t xml:space="preserve">, </w:t>
      </w:r>
      <w:r w:rsidRPr="0001251E">
        <w:rPr>
          <w:rFonts w:ascii="Arial Nova Light" w:hAnsi="Arial Nova Light"/>
          <w:color w:val="000000"/>
        </w:rPr>
        <w:t>Bahrain</w:t>
      </w:r>
    </w:p>
    <w:p w14:paraId="0B2DB3BE" w14:textId="76EDB1C8" w:rsidR="0001251E" w:rsidRPr="00F57F77" w:rsidRDefault="0001251E" w:rsidP="0001251E">
      <w:pPr>
        <w:pBdr>
          <w:top w:val="nil"/>
          <w:left w:val="nil"/>
          <w:bottom w:val="nil"/>
          <w:right w:val="nil"/>
          <w:between w:val="nil"/>
        </w:pBdr>
        <w:spacing w:after="0"/>
        <w:jc w:val="center"/>
        <w:rPr>
          <w:rFonts w:ascii="Arial Nova Light" w:hAnsi="Arial Nova Light"/>
          <w:color w:val="000000"/>
        </w:rPr>
      </w:pPr>
      <w:r>
        <w:rPr>
          <w:rFonts w:ascii="Arial Nova Light" w:hAnsi="Arial Nova Light"/>
          <w:color w:val="000000"/>
          <w:vertAlign w:val="superscript"/>
        </w:rPr>
        <w:t>4</w:t>
      </w:r>
      <w:r w:rsidRPr="0001251E">
        <w:rPr>
          <w:rFonts w:ascii="Noto Sans" w:hAnsi="Noto Sans" w:cs="Noto Sans"/>
          <w:shd w:val="clear" w:color="auto" w:fill="FFFFFF"/>
        </w:rPr>
        <w:t xml:space="preserve"> </w:t>
      </w:r>
      <w:proofErr w:type="spellStart"/>
      <w:r w:rsidRPr="0001251E">
        <w:rPr>
          <w:rFonts w:ascii="Arial Nova Light" w:hAnsi="Arial Nova Light"/>
          <w:color w:val="000000"/>
        </w:rPr>
        <w:t>Universiti</w:t>
      </w:r>
      <w:proofErr w:type="spellEnd"/>
      <w:r w:rsidRPr="0001251E">
        <w:rPr>
          <w:rFonts w:ascii="Arial Nova Light" w:hAnsi="Arial Nova Light"/>
          <w:color w:val="000000"/>
        </w:rPr>
        <w:t xml:space="preserve"> </w:t>
      </w:r>
      <w:proofErr w:type="spellStart"/>
      <w:r w:rsidRPr="0001251E">
        <w:rPr>
          <w:rFonts w:ascii="Arial Nova Light" w:hAnsi="Arial Nova Light"/>
          <w:color w:val="000000"/>
        </w:rPr>
        <w:t>Teknologi</w:t>
      </w:r>
      <w:proofErr w:type="spellEnd"/>
      <w:r w:rsidRPr="0001251E">
        <w:rPr>
          <w:rFonts w:ascii="Arial Nova Light" w:hAnsi="Arial Nova Light"/>
          <w:color w:val="000000"/>
        </w:rPr>
        <w:t xml:space="preserve"> MARA, </w:t>
      </w:r>
      <w:proofErr w:type="spellStart"/>
      <w:r w:rsidRPr="0001251E">
        <w:rPr>
          <w:rFonts w:ascii="Arial Nova Light" w:hAnsi="Arial Nova Light"/>
          <w:color w:val="000000"/>
        </w:rPr>
        <w:t>Cawangan</w:t>
      </w:r>
      <w:proofErr w:type="spellEnd"/>
      <w:r w:rsidRPr="0001251E">
        <w:rPr>
          <w:rFonts w:ascii="Arial Nova Light" w:hAnsi="Arial Nova Light"/>
          <w:color w:val="000000"/>
        </w:rPr>
        <w:t xml:space="preserve"> Negeri Sembilan, Malaysia </w:t>
      </w:r>
    </w:p>
    <w:p w14:paraId="23E235E3" w14:textId="2D85EA9E" w:rsidR="00A97C24" w:rsidRPr="0001251E" w:rsidRDefault="00000000">
      <w:pPr>
        <w:pBdr>
          <w:top w:val="nil"/>
          <w:left w:val="nil"/>
          <w:bottom w:val="nil"/>
          <w:right w:val="nil"/>
          <w:between w:val="nil"/>
        </w:pBdr>
        <w:spacing w:after="0"/>
        <w:jc w:val="center"/>
        <w:rPr>
          <w:rFonts w:ascii="Arial Nova Light" w:hAnsi="Arial Nova Light"/>
          <w:color w:val="000000"/>
          <w:sz w:val="18"/>
          <w:szCs w:val="18"/>
        </w:rPr>
      </w:pPr>
      <w:r w:rsidRPr="0001251E">
        <w:rPr>
          <w:rFonts w:ascii="Arial Nova Light" w:hAnsi="Arial Nova Light"/>
          <w:color w:val="000000"/>
          <w:sz w:val="18"/>
          <w:szCs w:val="18"/>
        </w:rPr>
        <w:t>* Corresponding author: saifulb223@gmail.com</w:t>
      </w:r>
    </w:p>
    <w:p w14:paraId="383A1437" w14:textId="77777777" w:rsidR="00A97C24" w:rsidRPr="00F57F77" w:rsidRDefault="00A97C24">
      <w:pPr>
        <w:rPr>
          <w:rFonts w:ascii="Arial Nova Light" w:hAnsi="Arial Nova Light"/>
        </w:rPr>
      </w:pPr>
    </w:p>
    <w:p w14:paraId="6FF83E2E" w14:textId="33F91D4A" w:rsidR="00A97C24" w:rsidRPr="0057060F" w:rsidRDefault="00000000">
      <w:pPr>
        <w:pBdr>
          <w:top w:val="nil"/>
          <w:left w:val="nil"/>
          <w:bottom w:val="nil"/>
          <w:right w:val="nil"/>
          <w:between w:val="nil"/>
        </w:pBdr>
        <w:jc w:val="both"/>
        <w:rPr>
          <w:rFonts w:ascii="Arial Nova Light" w:hAnsi="Arial Nova Light"/>
          <w:b/>
          <w:bCs/>
          <w:color w:val="000000"/>
          <w:sz w:val="18"/>
          <w:szCs w:val="18"/>
        </w:rPr>
      </w:pPr>
      <w:r>
        <w:rPr>
          <w:rFonts w:ascii="Arial Nova Light" w:hAnsi="Arial Nova Light"/>
          <w:b/>
          <w:bCs/>
          <w:color w:val="000000"/>
          <w:sz w:val="18"/>
          <w:szCs w:val="18"/>
        </w:rPr>
        <w:t xml:space="preserve">To cite this article: </w:t>
      </w:r>
      <w:r w:rsidRPr="0057060F">
        <w:rPr>
          <w:rFonts w:ascii="Arial Nova Light" w:hAnsi="Arial Nova Light"/>
          <w:color w:val="000000"/>
          <w:sz w:val="18"/>
          <w:szCs w:val="18"/>
        </w:rPr>
        <w:t>Bakhri, S.</w:t>
      </w:r>
      <w:r w:rsidR="0057060F">
        <w:rPr>
          <w:rFonts w:ascii="Arial Nova Light" w:hAnsi="Arial Nova Light"/>
          <w:color w:val="000000"/>
          <w:sz w:val="18"/>
          <w:szCs w:val="18"/>
        </w:rPr>
        <w:t xml:space="preserve">, </w:t>
      </w:r>
      <w:proofErr w:type="spellStart"/>
      <w:r w:rsidR="0057060F">
        <w:rPr>
          <w:rFonts w:ascii="Arial Nova Light" w:hAnsi="Arial Nova Light"/>
          <w:color w:val="000000"/>
          <w:sz w:val="18"/>
          <w:szCs w:val="18"/>
        </w:rPr>
        <w:t>Nafila</w:t>
      </w:r>
      <w:proofErr w:type="spellEnd"/>
      <w:r w:rsidR="0057060F">
        <w:rPr>
          <w:rFonts w:ascii="Arial Nova Light" w:hAnsi="Arial Nova Light"/>
          <w:color w:val="000000"/>
          <w:sz w:val="18"/>
          <w:szCs w:val="18"/>
        </w:rPr>
        <w:t>, N.A., Sakti, M.R.P., Rahim, H.,</w:t>
      </w:r>
      <w:r w:rsidRPr="0057060F">
        <w:rPr>
          <w:rFonts w:ascii="Arial Nova Light" w:hAnsi="Arial Nova Light"/>
          <w:color w:val="000000"/>
          <w:sz w:val="18"/>
          <w:szCs w:val="18"/>
        </w:rPr>
        <w:t xml:space="preserve"> (2026). Islamic </w:t>
      </w:r>
      <w:r w:rsidR="00864D8E" w:rsidRPr="0057060F">
        <w:rPr>
          <w:rFonts w:ascii="Arial Nova Light" w:hAnsi="Arial Nova Light"/>
          <w:color w:val="000000"/>
          <w:sz w:val="18"/>
          <w:szCs w:val="18"/>
        </w:rPr>
        <w:t xml:space="preserve">Finance </w:t>
      </w:r>
      <w:r w:rsidR="00864D8E">
        <w:rPr>
          <w:rFonts w:ascii="Arial Nova Light" w:hAnsi="Arial Nova Light"/>
          <w:color w:val="000000"/>
          <w:sz w:val="18"/>
          <w:szCs w:val="18"/>
        </w:rPr>
        <w:t>a</w:t>
      </w:r>
      <w:r w:rsidR="00864D8E" w:rsidRPr="0057060F">
        <w:rPr>
          <w:rFonts w:ascii="Arial Nova Light" w:hAnsi="Arial Nova Light"/>
          <w:color w:val="000000"/>
          <w:sz w:val="18"/>
          <w:szCs w:val="18"/>
        </w:rPr>
        <w:t xml:space="preserve">s </w:t>
      </w:r>
      <w:r w:rsidR="00864D8E">
        <w:rPr>
          <w:rFonts w:ascii="Arial Nova Light" w:hAnsi="Arial Nova Light"/>
          <w:color w:val="000000"/>
          <w:sz w:val="18"/>
          <w:szCs w:val="18"/>
        </w:rPr>
        <w:t>a</w:t>
      </w:r>
      <w:r w:rsidR="00864D8E" w:rsidRPr="0057060F">
        <w:rPr>
          <w:rFonts w:ascii="Arial Nova Light" w:hAnsi="Arial Nova Light"/>
          <w:color w:val="000000"/>
          <w:sz w:val="18"/>
          <w:szCs w:val="18"/>
        </w:rPr>
        <w:t xml:space="preserve"> Catalyst </w:t>
      </w:r>
      <w:r w:rsidR="00864D8E">
        <w:rPr>
          <w:rFonts w:ascii="Arial Nova Light" w:hAnsi="Arial Nova Light"/>
          <w:color w:val="000000"/>
          <w:sz w:val="18"/>
          <w:szCs w:val="18"/>
        </w:rPr>
        <w:t>f</w:t>
      </w:r>
      <w:r w:rsidR="00864D8E" w:rsidRPr="0057060F">
        <w:rPr>
          <w:rFonts w:ascii="Arial Nova Light" w:hAnsi="Arial Nova Light"/>
          <w:color w:val="000000"/>
          <w:sz w:val="18"/>
          <w:szCs w:val="18"/>
        </w:rPr>
        <w:t xml:space="preserve">or Sustainable Halal Startup Growth: </w:t>
      </w:r>
      <w:r w:rsidRPr="0057060F">
        <w:rPr>
          <w:rFonts w:ascii="Arial Nova Light" w:hAnsi="Arial Nova Light"/>
          <w:color w:val="000000"/>
          <w:sz w:val="18"/>
          <w:szCs w:val="18"/>
        </w:rPr>
        <w:t xml:space="preserve">Integrating </w:t>
      </w:r>
      <w:r w:rsidR="00864D8E" w:rsidRPr="0057060F">
        <w:rPr>
          <w:rFonts w:ascii="Arial Nova Light" w:hAnsi="Arial Nova Light"/>
          <w:color w:val="000000"/>
          <w:sz w:val="18"/>
          <w:szCs w:val="18"/>
        </w:rPr>
        <w:t xml:space="preserve">Circular Economy Principles </w:t>
      </w:r>
      <w:r w:rsidR="00864D8E">
        <w:rPr>
          <w:rFonts w:ascii="Arial Nova Light" w:hAnsi="Arial Nova Light"/>
          <w:color w:val="000000"/>
          <w:sz w:val="18"/>
          <w:szCs w:val="18"/>
        </w:rPr>
        <w:t>a</w:t>
      </w:r>
      <w:r w:rsidR="00864D8E" w:rsidRPr="0057060F">
        <w:rPr>
          <w:rFonts w:ascii="Arial Nova Light" w:hAnsi="Arial Nova Light"/>
          <w:color w:val="000000"/>
          <w:sz w:val="18"/>
          <w:szCs w:val="18"/>
        </w:rPr>
        <w:t>nd Global Market Readiness</w:t>
      </w:r>
      <w:r w:rsidRPr="0057060F">
        <w:rPr>
          <w:rFonts w:ascii="Arial Nova Light" w:hAnsi="Arial Nova Light"/>
          <w:color w:val="000000"/>
          <w:sz w:val="18"/>
          <w:szCs w:val="18"/>
        </w:rPr>
        <w:t xml:space="preserve">. </w:t>
      </w:r>
      <w:r w:rsidRPr="0057060F">
        <w:rPr>
          <w:rFonts w:ascii="Arial Nova Light" w:hAnsi="Arial Nova Light"/>
          <w:i/>
          <w:iCs/>
          <w:color w:val="000000"/>
          <w:sz w:val="18"/>
          <w:szCs w:val="18"/>
        </w:rPr>
        <w:t>International Conference on Islamic Finance and Banking Education, 1(1)</w:t>
      </w:r>
      <w:r w:rsidRPr="0057060F">
        <w:rPr>
          <w:rFonts w:ascii="Arial Nova Light" w:hAnsi="Arial Nova Light"/>
          <w:color w:val="000000"/>
          <w:sz w:val="18"/>
          <w:szCs w:val="18"/>
        </w:rPr>
        <w:t>, xx–xx.</w:t>
      </w:r>
    </w:p>
    <w:tbl>
      <w:tblPr>
        <w:tblStyle w:val="a5"/>
        <w:tblW w:w="9061" w:type="dxa"/>
        <w:tblBorders>
          <w:top w:val="nil"/>
          <w:left w:val="nil"/>
          <w:bottom w:val="nil"/>
          <w:right w:val="nil"/>
          <w:insideH w:val="nil"/>
          <w:insideV w:val="nil"/>
        </w:tblBorders>
        <w:tblLayout w:type="fixed"/>
        <w:tblLook w:val="0400" w:firstRow="0" w:lastRow="0" w:firstColumn="0" w:lastColumn="0" w:noHBand="0" w:noVBand="1"/>
      </w:tblPr>
      <w:tblGrid>
        <w:gridCol w:w="9061"/>
      </w:tblGrid>
      <w:tr w:rsidR="00A97C24" w:rsidRPr="00F57F77" w14:paraId="541365A8" w14:textId="77777777">
        <w:tc>
          <w:tcPr>
            <w:tcW w:w="9061" w:type="dxa"/>
            <w:shd w:val="clear" w:color="auto" w:fill="EDF3F6"/>
          </w:tcPr>
          <w:p w14:paraId="217657CF" w14:textId="77777777" w:rsidR="00A97C24" w:rsidRPr="00F57F77" w:rsidRDefault="00000000">
            <w:pPr>
              <w:pBdr>
                <w:top w:val="nil"/>
                <w:left w:val="nil"/>
                <w:bottom w:val="nil"/>
                <w:right w:val="nil"/>
                <w:between w:val="nil"/>
              </w:pBdr>
              <w:spacing w:after="160"/>
              <w:rPr>
                <w:rFonts w:ascii="Arial Nova Light" w:hAnsi="Arial Nova Light"/>
                <w:color w:val="20A3A0"/>
                <w:sz w:val="22"/>
                <w:szCs w:val="22"/>
              </w:rPr>
            </w:pPr>
            <w:r>
              <w:rPr>
                <w:rFonts w:ascii="Arial Nova Light" w:hAnsi="Arial Nova Light"/>
                <w:b/>
                <w:bCs/>
                <w:color w:val="20A3A0"/>
                <w:sz w:val="22"/>
                <w:szCs w:val="22"/>
              </w:rPr>
              <w:t>Abstract</w:t>
            </w:r>
          </w:p>
        </w:tc>
      </w:tr>
      <w:tr w:rsidR="00A97C24" w:rsidRPr="00F57F77" w14:paraId="4EDE3E77" w14:textId="77777777">
        <w:tc>
          <w:tcPr>
            <w:tcW w:w="9061" w:type="dxa"/>
            <w:shd w:val="clear" w:color="auto" w:fill="EDF3F6"/>
          </w:tcPr>
          <w:p w14:paraId="072FC67C" w14:textId="77777777" w:rsidR="00A97C24" w:rsidRPr="00F57F77" w:rsidRDefault="00000000">
            <w:pPr>
              <w:pBdr>
                <w:top w:val="nil"/>
                <w:left w:val="nil"/>
                <w:bottom w:val="nil"/>
                <w:right w:val="nil"/>
                <w:between w:val="nil"/>
              </w:pBdr>
              <w:spacing w:after="160"/>
              <w:jc w:val="both"/>
              <w:rPr>
                <w:rFonts w:ascii="Arial Nova Light" w:hAnsi="Arial Nova Light"/>
                <w:color w:val="000000"/>
              </w:rPr>
            </w:pPr>
            <w:r>
              <w:rPr>
                <w:rFonts w:ascii="Arial Nova Light" w:hAnsi="Arial Nova Light"/>
                <w:color w:val="000000"/>
              </w:rPr>
              <w:t>Halal startups face a dual challenge: securing finance that is compatible with Shariah while building business models capable of meeting sustainability and global-market requirements. This study develops an integrated framework explaining how Islamic finance can support sustainable halal startup growth through circular-economy capabilities and global market readiness. A critical integrative review was conducted on recent peer-reviewed literature published during 2021–2026 covering Islamic sustainable finance, Islamic commercial and social finance, halal small and medium-sized enterprises, digital financial innovation, circular economy, and sustainable entrepreneurship. The synthesis identifies four financing functions—risk-sharing capital, digitally enabled access, integrated commercial–social finance, and green/impact-oriented financing—and links them to four firm-level capabilities: eco-design and resource efficiency, closed-loop value creation, halal integrity and traceability, and digital supply-chain coordination. The proposed Islamic Finance–Circularity–Global Readiness (IFCGR) framework argues that Islamic finance generates stronger startup outcomes when financing architecture is coupled with measurable circular practices, robust Shariah and halal governance, and market-facing digital infrastructure. The framework contributes by connecting previously fragmented streams of Islamic finance, halal entrepreneurship, and circular-economy research. For policymakers and Islamic financial institutions, the findings imply a need to move from collateral-dominant financing toward partnership-based, blended, digitally traceable, and sustainability-linked instruments suitable for early-stage halal ventures.</w:t>
            </w:r>
          </w:p>
        </w:tc>
      </w:tr>
      <w:tr w:rsidR="00A97C24" w:rsidRPr="00F57F77" w14:paraId="45B0227F" w14:textId="77777777">
        <w:tc>
          <w:tcPr>
            <w:tcW w:w="9061" w:type="dxa"/>
            <w:shd w:val="clear" w:color="auto" w:fill="EDF3F6"/>
          </w:tcPr>
          <w:p w14:paraId="3F0F36A5" w14:textId="77777777" w:rsidR="00A97C24" w:rsidRPr="00F57F77" w:rsidRDefault="00000000">
            <w:pPr>
              <w:pBdr>
                <w:top w:val="nil"/>
                <w:left w:val="nil"/>
                <w:bottom w:val="nil"/>
                <w:right w:val="nil"/>
                <w:between w:val="nil"/>
              </w:pBdr>
              <w:spacing w:after="160"/>
              <w:jc w:val="both"/>
              <w:rPr>
                <w:rFonts w:ascii="Arial Nova Light" w:hAnsi="Arial Nova Light"/>
                <w:color w:val="000000"/>
              </w:rPr>
            </w:pPr>
            <w:r>
              <w:rPr>
                <w:rFonts w:ascii="Arial Nova Light" w:hAnsi="Arial Nova Light"/>
                <w:b/>
                <w:bCs/>
                <w:color w:val="20A3A0"/>
                <w:sz w:val="22"/>
                <w:szCs w:val="22"/>
              </w:rPr>
              <w:t>Keywords: Islamic finance; halal startups; circular economy; Islamic sustainable finance; digital finance; global market readiness.</w:t>
            </w:r>
          </w:p>
        </w:tc>
      </w:tr>
    </w:tbl>
    <w:p w14:paraId="112831B7" w14:textId="11DC8411" w:rsidR="00A97C24" w:rsidRPr="00F57F77" w:rsidRDefault="00000000" w:rsidP="007052BA">
      <w:pPr>
        <w:pStyle w:val="Heading1"/>
        <w:numPr>
          <w:ilvl w:val="0"/>
          <w:numId w:val="5"/>
        </w:numPr>
        <w:ind w:left="270"/>
        <w:rPr>
          <w:rFonts w:ascii="Arial Nova Light" w:hAnsi="Arial Nova Light"/>
        </w:rPr>
      </w:pPr>
      <w:r>
        <w:rPr>
          <w:rFonts w:ascii="Arial Nova Light" w:hAnsi="Arial Nova Light"/>
        </w:rPr>
        <w:t>Introduction</w:t>
      </w:r>
    </w:p>
    <w:p w14:paraId="4E07E936"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 xml:space="preserve">The global halal economy increasingly requires firms to compete not only on religious compliance but also on sustainability, innovation, transparency, and access to international markets. This pressure is particularly acute for startups and growth-oriented small firms, which must finance product development, certification, digital infrastructure, supply-chain traceability, and market expansion before stable cash flows are established. Conventional startup finance may provide speed and scale, yet it does not necessarily address Shariah compliance, equitable risk </w:t>
      </w:r>
      <w:r>
        <w:rPr>
          <w:rFonts w:ascii="Arial Nova Light" w:hAnsi="Arial Nova Light"/>
          <w:sz w:val="22"/>
          <w:szCs w:val="22"/>
        </w:rPr>
        <w:lastRenderedPageBreak/>
        <w:t>sharing, or the broader social and environmental objectives embedded in Islamic economic thought. Islamic finance therefore offers a potentially distinctive financing architecture for halal ventures because it combines contractual discipline, asset linkage, risk sharing, ethical restrictions, and social-finance instruments. Recent scholarship on Islamic sustainable finance confirms that sustainability, investment, Islamic banking, and the Sustainable Development Goals (SDGs) have become increasingly interconnected research streams (Aziz et al., 2026).</w:t>
      </w:r>
    </w:p>
    <w:p w14:paraId="190F99C7"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 xml:space="preserve">The sustainability dimension is no longer peripheral to Islamic finance. Ammar et al. (2023) </w:t>
      </w:r>
      <w:proofErr w:type="gramStart"/>
      <w:r>
        <w:rPr>
          <w:rFonts w:ascii="Arial Nova Light" w:hAnsi="Arial Nova Light"/>
          <w:sz w:val="22"/>
          <w:szCs w:val="22"/>
        </w:rPr>
        <w:t>propose</w:t>
      </w:r>
      <w:proofErr w:type="gramEnd"/>
      <w:r>
        <w:rPr>
          <w:rFonts w:ascii="Arial Nova Light" w:hAnsi="Arial Nova Light"/>
          <w:sz w:val="22"/>
          <w:szCs w:val="22"/>
        </w:rPr>
        <w:t xml:space="preserve"> a sustainability performance index for Islamic banks that explicitly incorporates stakeholder perspectives and Maqasid al-Shariah, while Jan et al. (2023) show that Islamic corporate sustainability practices aligned with the SDGs can be positively associated with financial performance in Malaysian and Indonesian Islamic banking. These findings are important for entrepreneurial finance because they imply that Shariah-compliant financial institutions can evaluate value creation beyond short-term profitability. In parallel, Raimi and Bamiro (2026) argue that Islamic sustainable finance can promote green entrepreneurship in emerging Muslim economies, especially when Islamic financial instruments are mobilized around measurable sustainable-development outcomes.</w:t>
      </w:r>
    </w:p>
    <w:p w14:paraId="068B28B6"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A second relevant stream concerns the financing gap faced by micro, small, and medium-sized enterprises (MSMEs). In Indonesia, regulatory and institutional frictions can limit financial inclusion between Islamic banks and MSMEs even when both sectors are strategically important for sustainable growth (Saifurrahman &amp; Kassim, 2024). For early-stage halal firms, the problem is magnified by limited collateral, volatile cash flows, information asymmetry, and the costs of halal assurance. Digital financial innovation partially addresses this constraint. Jaiyeoba et al. (2025b) find that e-payment and e-commerce capabilities significantly strengthen the supply-chain performance of halal SMEs, demonstrating that financial technology is not merely a payment tool but an operational capability that can support coordination, traceability, and market access.</w:t>
      </w:r>
    </w:p>
    <w:p w14:paraId="23A57130"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A third stream is circular economy research. Circular economy practices seek to narrow, slow, and close material and resource loops through design, reuse, recovery, longer product life, and cross-actor value creation. Empirical evidence shows that circular practices can improve the environmental performance of SMEs, but adoption depends on financing availability, technical capability, stakeholder cooperation, and policy support (Dey et al., 2022; Nudurupati et al., 2022). Circular entrepreneurship also relies on co-creation with suppliers, customers, public institutions, and other ecosystem actors because resource loops generally extend beyond a single firm (Re &amp; Magnani, 2022). Financing is therefore a structural issue: circular business models often require up-front investment in cleaner technology, reverse logistics, traceability, redesign, or reusable infrastructure before the financial benefits are realized (Saarinen &amp; Aarikka-Stenroos, 2023).</w:t>
      </w:r>
    </w:p>
    <w:p w14:paraId="1CF3F237"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Despite the rapid growth of these literatures, an important gap remains. Islamic sustainable finance studies largely focus on banks, capital markets, social finance, or macro-level sustainability; halal business studies frequently examine certification, consumer demand, supply chains, or SME performance; and circular economy studies generally address non-sector-specific SMEs. The three streams rarely converge around the financing architecture of halal startups. This fragmentation creates a practical problem: Islamic financial institutions may have Shariah-compliant instruments but lack a startup-oriented sustainability logic, while halal entrepreneurs may pursue circular innovation but lack appropriate risk-sharing and impact-finance structures.</w:t>
      </w:r>
    </w:p>
    <w:p w14:paraId="559FEF29"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 xml:space="preserve">This article addresses that gap by developing the Islamic Finance–Circularity–Global Readiness (IFCGR) framework. The framework explains how four Islamic-finance functions—risk-sharing capital, digitally enabled financing, integrated commercial–social finance, and green/impact financing—can build circular and halal capabilities that subsequently strengthen startup resilience, legitimacy, scalability, and global market readiness. The study is conceptual and evidence-synthesizing rather than causal; its contribution is to integrate recent findings into a </w:t>
      </w:r>
      <w:r>
        <w:rPr>
          <w:rFonts w:ascii="Arial Nova Light" w:hAnsi="Arial Nova Light"/>
          <w:sz w:val="22"/>
          <w:szCs w:val="22"/>
        </w:rPr>
        <w:lastRenderedPageBreak/>
        <w:t>coherent architecture that can guide future empirical testing, product design by Islamic financial institutions, and public policy for halal entrepreneurship.</w:t>
      </w:r>
    </w:p>
    <w:p w14:paraId="73A6E729" w14:textId="569BADFD" w:rsidR="00A97C24" w:rsidRPr="00F57F77" w:rsidRDefault="00000000" w:rsidP="007052BA">
      <w:pPr>
        <w:pStyle w:val="Heading1"/>
        <w:numPr>
          <w:ilvl w:val="0"/>
          <w:numId w:val="5"/>
        </w:numPr>
        <w:ind w:left="270"/>
        <w:rPr>
          <w:rFonts w:ascii="Arial Nova Light" w:hAnsi="Arial Nova Light"/>
        </w:rPr>
      </w:pPr>
      <w:r>
        <w:rPr>
          <w:rFonts w:ascii="Arial Nova Light" w:hAnsi="Arial Nova Light"/>
        </w:rPr>
        <w:t>Literature Review</w:t>
      </w:r>
    </w:p>
    <w:p w14:paraId="64FF05FB" w14:textId="77777777" w:rsidR="00A97C24" w:rsidRPr="00F57F77" w:rsidRDefault="00000000" w:rsidP="008153ED">
      <w:pPr>
        <w:pStyle w:val="Heading1"/>
        <w:numPr>
          <w:ilvl w:val="0"/>
          <w:numId w:val="0"/>
        </w:numPr>
        <w:ind w:left="-90"/>
        <w:rPr>
          <w:rFonts w:ascii="Arial Nova Light" w:hAnsi="Arial Nova Light"/>
        </w:rPr>
      </w:pPr>
      <w:r>
        <w:rPr>
          <w:rFonts w:ascii="Arial Nova Light" w:hAnsi="Arial Nova Light"/>
        </w:rPr>
        <w:t>2.1 Islamic Sustainable Finance and Maqasid-Oriented Startup Financing</w:t>
      </w:r>
    </w:p>
    <w:p w14:paraId="26955237"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 xml:space="preserve">Islamic finance has traditionally been distinguished by prohibitions on riba, gharar, and maysir, together with requirements for lawful underlying activities and contractual clarity. In sustainability-oriented applications, these rules are increasingly interpreted alongside Maqasid al-Shariah, stakeholder welfare, financial inclusion, and environmental responsibility. Ammar et al. (2023) </w:t>
      </w:r>
      <w:proofErr w:type="gramStart"/>
      <w:r>
        <w:rPr>
          <w:rFonts w:ascii="Arial Nova Light" w:hAnsi="Arial Nova Light"/>
          <w:sz w:val="22"/>
          <w:szCs w:val="22"/>
        </w:rPr>
        <w:t>demonstrate</w:t>
      </w:r>
      <w:proofErr w:type="gramEnd"/>
      <w:r>
        <w:rPr>
          <w:rFonts w:ascii="Arial Nova Light" w:hAnsi="Arial Nova Light"/>
          <w:sz w:val="22"/>
          <w:szCs w:val="22"/>
        </w:rPr>
        <w:t xml:space="preserve"> this shift by incorporating sustainability and Maqasid dimensions into Islamic-bank performance measurement. Jan et al. (2023) similarly </w:t>
      </w:r>
      <w:proofErr w:type="gramStart"/>
      <w:r>
        <w:rPr>
          <w:rFonts w:ascii="Arial Nova Light" w:hAnsi="Arial Nova Light"/>
          <w:sz w:val="22"/>
          <w:szCs w:val="22"/>
        </w:rPr>
        <w:t>provide</w:t>
      </w:r>
      <w:proofErr w:type="gramEnd"/>
      <w:r>
        <w:rPr>
          <w:rFonts w:ascii="Arial Nova Light" w:hAnsi="Arial Nova Light"/>
          <w:sz w:val="22"/>
          <w:szCs w:val="22"/>
        </w:rPr>
        <w:t xml:space="preserve"> empirical evidence that an Islamic sustainability orientation can coexist with stronger financial outcomes. For startups, this supports an important proposition: sustainability should not be treated as a charitable add-on after profitability, but as part of how financing quality and enterprise value are assessed.</w:t>
      </w:r>
    </w:p>
    <w:p w14:paraId="497FCE43"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Risk-sharing contracts are particularly relevant to startups because they can align capital providers with uncertain entrepreneurial outcomes more naturally than debt-like structures requiring fixed repayment. Musharakah and mudarabah can, in principle, distribute commercial risk while preserving Shariah legitimacy. However, implementation requires strong governance, information transparency, milestone monitoring, and credible exit mechanisms. The challenge is therefore not only instrument availability but transaction design. Islamic finance for startups should combine Shariah compliance with venture-finance disciplines such as staged financing, governance rights, performance dashboards, and transparent use of funds.</w:t>
      </w:r>
    </w:p>
    <w:p w14:paraId="4718C8B7"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Islamic commercial finance can also be combined with Islamic social finance to create a blended financing continuum. Ascarya et al. (2022) propose models that integrate Islamic commercial and social finance in Indonesian Islamic banking, while Ascarya et al. (2023) develop cash-waqf models that connect social outreach with sustainable microfinance. These studies suggest a useful startup logic: social-finance instruments may absorb non-commercial or capability-building costs—training, certification, incubation, or shared infrastructure—while commercial Shariah finance funds viable revenue-generating operations. Such blending is particularly relevant for young halal ventures that create positive externalities but are not yet bankable under conventional collateral criteria.</w:t>
      </w:r>
    </w:p>
    <w:p w14:paraId="1CD8EF4C"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Green and impact-oriented Islamic finance offers a fourth mechanism. Raeni et al. (2022), examining the mobilization of Islamic funds for climate action, emphasize the importance of traceability between financing and environmental outcomes. Hunjra et al. (2023) find that green finance can positively contribute to sustainable development across developing countries. Applied to halal startups, these findings imply that sustainability-linked financing should be tied to verifiable indicators such as waste reduction, renewable-energy use, material recovery, responsible sourcing, or carbon intensity. For small ventures, such finance may be delivered through dedicated Islamic funds, green working-capital facilities, crowdfunding, or ecosystem-level sukuk that finance shared circular infrastructure.</w:t>
      </w:r>
    </w:p>
    <w:p w14:paraId="4960EFC8" w14:textId="77777777" w:rsidR="00A97C24" w:rsidRPr="00F57F77" w:rsidRDefault="00000000" w:rsidP="008153ED">
      <w:pPr>
        <w:pStyle w:val="Heading1"/>
        <w:numPr>
          <w:ilvl w:val="0"/>
          <w:numId w:val="0"/>
        </w:numPr>
        <w:rPr>
          <w:rFonts w:ascii="Arial Nova Light" w:hAnsi="Arial Nova Light"/>
        </w:rPr>
      </w:pPr>
      <w:r>
        <w:rPr>
          <w:rFonts w:ascii="Arial Nova Light" w:hAnsi="Arial Nova Light"/>
        </w:rPr>
        <w:t>2.2 Circular Economy and Halal Business Sustainability</w:t>
      </w:r>
    </w:p>
    <w:p w14:paraId="26DB95D6"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 xml:space="preserve">Circular economy is relevant to halal business because both frameworks emphasize responsibility over resources, integrity of processes, and avoidance of harmful or wasteful practices. The relationship should not be overstated as conceptual equivalence; rather, circular economy provides operational tools through which halal firms can improve resource stewardship and measurable sustainability. Dey et al. (2022) show that circular-economy adoption in SMEs can improve environmental performance through resource and energy efficiency and waste reduction. Nudurupati et al. (2022) further demonstrate that SME circularity is enabled by </w:t>
      </w:r>
      <w:r>
        <w:rPr>
          <w:rFonts w:ascii="Arial Nova Light" w:hAnsi="Arial Nova Light"/>
          <w:sz w:val="22"/>
          <w:szCs w:val="22"/>
        </w:rPr>
        <w:lastRenderedPageBreak/>
        <w:t>government initiatives, competitive incentives, environmental regulation, and customer pressure, but constrained by skill gaps, weak digital transformation, and limited stakeholder cooperation.</w:t>
      </w:r>
    </w:p>
    <w:p w14:paraId="511005D6"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The startup context adds flexibility but also vulnerability. Young firms can design circularity into products and processes from the beginning rather than retrofitting legacy systems. At the same time, they have fewer financial buffers and weaker bargaining power. Re and Magnani (2022) show that born-circular SMEs depend heavily on value co-creation with external actors. Sohal and De Vass (2022) likewise find that SME transitions to circular economy require alignment between organizational vision, 3R-type practices, and critical success factors. The implication is that financing must support ecosystem-building expenses that traditional working-capital assessments may treat as intangible or non-bankable.</w:t>
      </w:r>
    </w:p>
    <w:p w14:paraId="6EBCCD70"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For halal firms specifically, sustainability can enhance market legitimacy. Jaiyeoba et al. (2025a) report that environmental, social, philanthropic, and economic sustainability practices are positively associated with the sustainability of halal businesses. Earlier work by Masood and Zaidi (2023) identifies growth constraints within the halal cosmetics SME ecosystem and highlights the importance of an enabling institutional environment. These findings support a broader proposition: halal integrity and environmental sustainability can be mutually reinforcing sources of consumer trust when operational practices are transparent, traceable, and credible.</w:t>
      </w:r>
    </w:p>
    <w:p w14:paraId="5C2234B3" w14:textId="77777777" w:rsidR="00A97C24" w:rsidRPr="00F57F77" w:rsidRDefault="00000000" w:rsidP="008153ED">
      <w:pPr>
        <w:pStyle w:val="Heading1"/>
        <w:numPr>
          <w:ilvl w:val="0"/>
          <w:numId w:val="0"/>
        </w:numPr>
        <w:rPr>
          <w:rFonts w:ascii="Arial Nova Light" w:hAnsi="Arial Nova Light"/>
        </w:rPr>
      </w:pPr>
      <w:r>
        <w:rPr>
          <w:rFonts w:ascii="Arial Nova Light" w:hAnsi="Arial Nova Light"/>
        </w:rPr>
        <w:t>2.3 Digital Finance, Traceability, and Global Market Readiness</w:t>
      </w:r>
    </w:p>
    <w:p w14:paraId="274CB057"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Global market readiness requires more than export promotion. Halal startups need reliable certification, documentation, quality assurance, digital payments, logistics interoperability, foreign-market intelligence, and credible sustainability claims. Financial innovation can directly support these capabilities. Jaiyeoba et al. (2025b) find that internet-based financial innovations, especially e-payment and e-commerce, improve halal SME supply-chain performance, with managerial innovativeness acting as an important mediating capability. This indicates that digital finance should be treated as infrastructure for business-model scaling rather than merely a channel for transactions.</w:t>
      </w:r>
    </w:p>
    <w:p w14:paraId="4415B001"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Traceability is especially important when halal assurance and sustainability claims intersect. Raeni et al. (2022) show that climate-oriented Islamic finance requires a shift from general transparency toward traceable links between funds and outcomes. The same logic can strengthen halal startup financing: funders can connect disbursement milestones to verified procurement, halal assurance, waste metrics, energy use, and supply-chain data. This reduces information asymmetry and can make risk-sharing finance more manageable.</w:t>
      </w:r>
    </w:p>
    <w:p w14:paraId="2407151A" w14:textId="62899A60" w:rsidR="00E32990" w:rsidRDefault="00000000" w:rsidP="00864D8E">
      <w:pPr>
        <w:spacing w:after="0"/>
        <w:jc w:val="center"/>
        <w:rPr>
          <w:rFonts w:ascii="Arial Nova Light" w:hAnsi="Arial Nova Light"/>
          <w:sz w:val="22"/>
          <w:szCs w:val="22"/>
        </w:rPr>
      </w:pPr>
      <w:r>
        <w:rPr>
          <w:rFonts w:ascii="Arial Nova Light" w:hAnsi="Arial Nova Light"/>
          <w:b/>
          <w:sz w:val="22"/>
          <w:szCs w:val="22"/>
        </w:rPr>
        <w:t>Table 1</w:t>
      </w:r>
      <w:r w:rsidR="00864D8E">
        <w:rPr>
          <w:rFonts w:ascii="Arial Nova Light" w:hAnsi="Arial Nova Light"/>
          <w:b/>
          <w:sz w:val="22"/>
          <w:szCs w:val="22"/>
        </w:rPr>
        <w:t xml:space="preserve">. </w:t>
      </w:r>
      <w:r>
        <w:rPr>
          <w:rFonts w:ascii="Arial Nova Light" w:hAnsi="Arial Nova Light"/>
          <w:i/>
          <w:sz w:val="22"/>
          <w:szCs w:val="22"/>
        </w:rPr>
        <w:t>Selected recent evidence underpinning the IFCGR framework.</w:t>
      </w:r>
    </w:p>
    <w:tbl>
      <w:tblPr>
        <w:tblStyle w:val="TableGrid"/>
        <w:tblW w:w="0" w:type="auto"/>
        <w:tblLayout w:type="fixed"/>
        <w:tblLook w:val="04A0" w:firstRow="1" w:lastRow="0" w:firstColumn="1" w:lastColumn="0" w:noHBand="0" w:noVBand="1"/>
      </w:tblPr>
      <w:tblGrid>
        <w:gridCol w:w="1757"/>
        <w:gridCol w:w="1928"/>
        <w:gridCol w:w="3060"/>
        <w:gridCol w:w="2268"/>
      </w:tblGrid>
      <w:tr w:rsidR="008E0CD7" w:rsidRPr="008153ED" w14:paraId="446E3019" w14:textId="77777777" w:rsidTr="008153ED">
        <w:tc>
          <w:tcPr>
            <w:tcW w:w="1757" w:type="dxa"/>
          </w:tcPr>
          <w:p w14:paraId="4E9ADE9F" w14:textId="77777777" w:rsidR="00000000" w:rsidRPr="008153ED" w:rsidRDefault="00000000">
            <w:pPr>
              <w:jc w:val="center"/>
              <w:rPr>
                <w:sz w:val="18"/>
                <w:szCs w:val="18"/>
              </w:rPr>
            </w:pPr>
            <w:r w:rsidRPr="008153ED">
              <w:rPr>
                <w:rFonts w:ascii="Arial Nova Light" w:hAnsi="Arial Nova Light"/>
                <w:b/>
                <w:sz w:val="18"/>
                <w:szCs w:val="18"/>
              </w:rPr>
              <w:t>Study</w:t>
            </w:r>
          </w:p>
        </w:tc>
        <w:tc>
          <w:tcPr>
            <w:tcW w:w="1928" w:type="dxa"/>
          </w:tcPr>
          <w:p w14:paraId="265B6643" w14:textId="77777777" w:rsidR="00000000" w:rsidRPr="008153ED" w:rsidRDefault="00000000">
            <w:pPr>
              <w:jc w:val="center"/>
              <w:rPr>
                <w:sz w:val="18"/>
                <w:szCs w:val="18"/>
              </w:rPr>
            </w:pPr>
            <w:r w:rsidRPr="008153ED">
              <w:rPr>
                <w:rFonts w:ascii="Arial Nova Light" w:hAnsi="Arial Nova Light"/>
                <w:b/>
                <w:sz w:val="18"/>
                <w:szCs w:val="18"/>
              </w:rPr>
              <w:t>Context/Method</w:t>
            </w:r>
          </w:p>
        </w:tc>
        <w:tc>
          <w:tcPr>
            <w:tcW w:w="3060" w:type="dxa"/>
          </w:tcPr>
          <w:p w14:paraId="1B6ECC6B" w14:textId="77777777" w:rsidR="00000000" w:rsidRPr="008153ED" w:rsidRDefault="00000000">
            <w:pPr>
              <w:jc w:val="center"/>
              <w:rPr>
                <w:sz w:val="18"/>
                <w:szCs w:val="18"/>
              </w:rPr>
            </w:pPr>
            <w:r w:rsidRPr="008153ED">
              <w:rPr>
                <w:rFonts w:ascii="Arial Nova Light" w:hAnsi="Arial Nova Light"/>
                <w:b/>
                <w:sz w:val="18"/>
                <w:szCs w:val="18"/>
              </w:rPr>
              <w:t>Key finding</w:t>
            </w:r>
          </w:p>
        </w:tc>
        <w:tc>
          <w:tcPr>
            <w:tcW w:w="2268" w:type="dxa"/>
          </w:tcPr>
          <w:p w14:paraId="04A4E191" w14:textId="77777777" w:rsidR="00000000" w:rsidRPr="008153ED" w:rsidRDefault="00000000">
            <w:pPr>
              <w:jc w:val="center"/>
              <w:rPr>
                <w:sz w:val="18"/>
                <w:szCs w:val="18"/>
              </w:rPr>
            </w:pPr>
            <w:r w:rsidRPr="008153ED">
              <w:rPr>
                <w:rFonts w:ascii="Arial Nova Light" w:hAnsi="Arial Nova Light"/>
                <w:b/>
                <w:sz w:val="18"/>
                <w:szCs w:val="18"/>
              </w:rPr>
              <w:t>Framework relevance</w:t>
            </w:r>
          </w:p>
        </w:tc>
      </w:tr>
      <w:tr w:rsidR="008E0CD7" w:rsidRPr="008153ED" w14:paraId="04E9CC04" w14:textId="77777777" w:rsidTr="008153ED">
        <w:tc>
          <w:tcPr>
            <w:tcW w:w="1757" w:type="dxa"/>
          </w:tcPr>
          <w:p w14:paraId="5238004E" w14:textId="77777777" w:rsidR="00000000" w:rsidRPr="008153ED" w:rsidRDefault="00000000">
            <w:pPr>
              <w:rPr>
                <w:sz w:val="18"/>
                <w:szCs w:val="18"/>
              </w:rPr>
            </w:pPr>
            <w:r w:rsidRPr="008153ED">
              <w:rPr>
                <w:rFonts w:ascii="Arial Nova Light" w:hAnsi="Arial Nova Light"/>
                <w:sz w:val="18"/>
                <w:szCs w:val="18"/>
              </w:rPr>
              <w:t>Ammar et al. (2023)</w:t>
            </w:r>
          </w:p>
        </w:tc>
        <w:tc>
          <w:tcPr>
            <w:tcW w:w="1928" w:type="dxa"/>
          </w:tcPr>
          <w:p w14:paraId="49708647" w14:textId="77777777" w:rsidR="00000000" w:rsidRPr="008153ED" w:rsidRDefault="00000000">
            <w:pPr>
              <w:rPr>
                <w:sz w:val="18"/>
                <w:szCs w:val="18"/>
              </w:rPr>
            </w:pPr>
            <w:r w:rsidRPr="008153ED">
              <w:rPr>
                <w:rFonts w:ascii="Arial Nova Light" w:hAnsi="Arial Nova Light"/>
                <w:sz w:val="18"/>
                <w:szCs w:val="18"/>
              </w:rPr>
              <w:t>Islamic banks; expert-based index</w:t>
            </w:r>
          </w:p>
        </w:tc>
        <w:tc>
          <w:tcPr>
            <w:tcW w:w="3060" w:type="dxa"/>
          </w:tcPr>
          <w:p w14:paraId="7CDC38BE" w14:textId="77777777" w:rsidR="00000000" w:rsidRPr="008153ED" w:rsidRDefault="00000000">
            <w:pPr>
              <w:rPr>
                <w:sz w:val="18"/>
                <w:szCs w:val="18"/>
              </w:rPr>
            </w:pPr>
            <w:r w:rsidRPr="008153ED">
              <w:rPr>
                <w:rFonts w:ascii="Arial Nova Light" w:hAnsi="Arial Nova Light"/>
                <w:sz w:val="18"/>
                <w:szCs w:val="18"/>
              </w:rPr>
              <w:t>Sustainability and Maqasid can be embedded in performance measurement.</w:t>
            </w:r>
          </w:p>
        </w:tc>
        <w:tc>
          <w:tcPr>
            <w:tcW w:w="2268" w:type="dxa"/>
          </w:tcPr>
          <w:p w14:paraId="2779C0E5" w14:textId="77777777" w:rsidR="00000000" w:rsidRPr="008153ED" w:rsidRDefault="00000000">
            <w:pPr>
              <w:rPr>
                <w:sz w:val="18"/>
                <w:szCs w:val="18"/>
              </w:rPr>
            </w:pPr>
            <w:r w:rsidRPr="008153ED">
              <w:rPr>
                <w:rFonts w:ascii="Arial Nova Light" w:hAnsi="Arial Nova Light"/>
                <w:sz w:val="18"/>
                <w:szCs w:val="18"/>
              </w:rPr>
              <w:t>Maqasid-oriented financing criteria.</w:t>
            </w:r>
          </w:p>
        </w:tc>
      </w:tr>
      <w:tr w:rsidR="008E0CD7" w:rsidRPr="008153ED" w14:paraId="64943838" w14:textId="77777777" w:rsidTr="008153ED">
        <w:tc>
          <w:tcPr>
            <w:tcW w:w="1757" w:type="dxa"/>
          </w:tcPr>
          <w:p w14:paraId="1844591F" w14:textId="77777777" w:rsidR="00000000" w:rsidRPr="008153ED" w:rsidRDefault="00000000">
            <w:pPr>
              <w:rPr>
                <w:sz w:val="18"/>
                <w:szCs w:val="18"/>
              </w:rPr>
            </w:pPr>
            <w:r w:rsidRPr="008153ED">
              <w:rPr>
                <w:rFonts w:ascii="Arial Nova Light" w:hAnsi="Arial Nova Light"/>
                <w:sz w:val="18"/>
                <w:szCs w:val="18"/>
              </w:rPr>
              <w:t>Jan et al. (2023)</w:t>
            </w:r>
          </w:p>
        </w:tc>
        <w:tc>
          <w:tcPr>
            <w:tcW w:w="1928" w:type="dxa"/>
          </w:tcPr>
          <w:p w14:paraId="111BBF6C" w14:textId="77777777" w:rsidR="00000000" w:rsidRPr="008153ED" w:rsidRDefault="00000000">
            <w:pPr>
              <w:rPr>
                <w:sz w:val="18"/>
                <w:szCs w:val="18"/>
              </w:rPr>
            </w:pPr>
            <w:r w:rsidRPr="008153ED">
              <w:rPr>
                <w:rFonts w:ascii="Arial Nova Light" w:hAnsi="Arial Nova Light"/>
                <w:sz w:val="18"/>
                <w:szCs w:val="18"/>
              </w:rPr>
              <w:t>Malaysia/Indonesia Islamic banks; panel data</w:t>
            </w:r>
          </w:p>
        </w:tc>
        <w:tc>
          <w:tcPr>
            <w:tcW w:w="3060" w:type="dxa"/>
          </w:tcPr>
          <w:p w14:paraId="708B5ECF" w14:textId="77777777" w:rsidR="00000000" w:rsidRPr="008153ED" w:rsidRDefault="00000000">
            <w:pPr>
              <w:rPr>
                <w:sz w:val="18"/>
                <w:szCs w:val="18"/>
              </w:rPr>
            </w:pPr>
            <w:r w:rsidRPr="008153ED">
              <w:rPr>
                <w:rFonts w:ascii="Arial Nova Light" w:hAnsi="Arial Nova Light"/>
                <w:sz w:val="18"/>
                <w:szCs w:val="18"/>
              </w:rPr>
              <w:t>Islamic sustainability practices are linked with financial performance.</w:t>
            </w:r>
          </w:p>
        </w:tc>
        <w:tc>
          <w:tcPr>
            <w:tcW w:w="2268" w:type="dxa"/>
          </w:tcPr>
          <w:p w14:paraId="2DC11D77" w14:textId="77777777" w:rsidR="00000000" w:rsidRPr="008153ED" w:rsidRDefault="00000000">
            <w:pPr>
              <w:rPr>
                <w:sz w:val="18"/>
                <w:szCs w:val="18"/>
              </w:rPr>
            </w:pPr>
            <w:r w:rsidRPr="008153ED">
              <w:rPr>
                <w:rFonts w:ascii="Arial Nova Light" w:hAnsi="Arial Nova Light"/>
                <w:sz w:val="18"/>
                <w:szCs w:val="18"/>
              </w:rPr>
              <w:t>Sustainability can support, not oppose, financial viability.</w:t>
            </w:r>
          </w:p>
        </w:tc>
      </w:tr>
      <w:tr w:rsidR="008E0CD7" w:rsidRPr="008153ED" w14:paraId="12C99B7C" w14:textId="77777777" w:rsidTr="008153ED">
        <w:tc>
          <w:tcPr>
            <w:tcW w:w="1757" w:type="dxa"/>
          </w:tcPr>
          <w:p w14:paraId="253D9BF4" w14:textId="77777777" w:rsidR="00000000" w:rsidRPr="008153ED" w:rsidRDefault="00000000">
            <w:pPr>
              <w:rPr>
                <w:sz w:val="18"/>
                <w:szCs w:val="18"/>
              </w:rPr>
            </w:pPr>
            <w:r w:rsidRPr="008153ED">
              <w:rPr>
                <w:rFonts w:ascii="Arial Nova Light" w:hAnsi="Arial Nova Light"/>
                <w:sz w:val="18"/>
                <w:szCs w:val="18"/>
              </w:rPr>
              <w:t>Ascarya et al. (2022)</w:t>
            </w:r>
          </w:p>
        </w:tc>
        <w:tc>
          <w:tcPr>
            <w:tcW w:w="1928" w:type="dxa"/>
          </w:tcPr>
          <w:p w14:paraId="4794B0CA" w14:textId="77777777" w:rsidR="00000000" w:rsidRPr="008153ED" w:rsidRDefault="00000000">
            <w:pPr>
              <w:rPr>
                <w:sz w:val="18"/>
                <w:szCs w:val="18"/>
              </w:rPr>
            </w:pPr>
            <w:r w:rsidRPr="008153ED">
              <w:rPr>
                <w:rFonts w:ascii="Arial Nova Light" w:hAnsi="Arial Nova Light"/>
                <w:sz w:val="18"/>
                <w:szCs w:val="18"/>
              </w:rPr>
              <w:t>Indonesia; Delphi and ANP</w:t>
            </w:r>
          </w:p>
        </w:tc>
        <w:tc>
          <w:tcPr>
            <w:tcW w:w="3060" w:type="dxa"/>
          </w:tcPr>
          <w:p w14:paraId="2E4F045C" w14:textId="77777777" w:rsidR="00000000" w:rsidRPr="008153ED" w:rsidRDefault="00000000">
            <w:pPr>
              <w:rPr>
                <w:sz w:val="18"/>
                <w:szCs w:val="18"/>
              </w:rPr>
            </w:pPr>
            <w:r w:rsidRPr="008153ED">
              <w:rPr>
                <w:rFonts w:ascii="Arial Nova Light" w:hAnsi="Arial Nova Light"/>
                <w:sz w:val="18"/>
                <w:szCs w:val="18"/>
              </w:rPr>
              <w:t>Commercial and social Islamic finance can be institutionally integrated.</w:t>
            </w:r>
          </w:p>
        </w:tc>
        <w:tc>
          <w:tcPr>
            <w:tcW w:w="2268" w:type="dxa"/>
          </w:tcPr>
          <w:p w14:paraId="28670222" w14:textId="77777777" w:rsidR="00000000" w:rsidRPr="008153ED" w:rsidRDefault="00000000">
            <w:pPr>
              <w:rPr>
                <w:sz w:val="18"/>
                <w:szCs w:val="18"/>
              </w:rPr>
            </w:pPr>
            <w:r w:rsidRPr="008153ED">
              <w:rPr>
                <w:rFonts w:ascii="Arial Nova Light" w:hAnsi="Arial Nova Light"/>
                <w:sz w:val="18"/>
                <w:szCs w:val="18"/>
              </w:rPr>
              <w:t>Basis for blended startup finance.</w:t>
            </w:r>
          </w:p>
        </w:tc>
      </w:tr>
      <w:tr w:rsidR="008E0CD7" w:rsidRPr="008153ED" w14:paraId="45BE123B" w14:textId="77777777" w:rsidTr="008153ED">
        <w:tc>
          <w:tcPr>
            <w:tcW w:w="1757" w:type="dxa"/>
          </w:tcPr>
          <w:p w14:paraId="5B5EA250" w14:textId="77777777" w:rsidR="00000000" w:rsidRPr="008153ED" w:rsidRDefault="00000000">
            <w:pPr>
              <w:rPr>
                <w:sz w:val="18"/>
                <w:szCs w:val="18"/>
              </w:rPr>
            </w:pPr>
            <w:r w:rsidRPr="008153ED">
              <w:rPr>
                <w:rFonts w:ascii="Arial Nova Light" w:hAnsi="Arial Nova Light"/>
                <w:sz w:val="18"/>
                <w:szCs w:val="18"/>
              </w:rPr>
              <w:t>Raeni et al. (2022)</w:t>
            </w:r>
          </w:p>
        </w:tc>
        <w:tc>
          <w:tcPr>
            <w:tcW w:w="1928" w:type="dxa"/>
          </w:tcPr>
          <w:p w14:paraId="5885AEBA" w14:textId="77777777" w:rsidR="00000000" w:rsidRPr="008153ED" w:rsidRDefault="00000000">
            <w:pPr>
              <w:rPr>
                <w:sz w:val="18"/>
                <w:szCs w:val="18"/>
              </w:rPr>
            </w:pPr>
            <w:r w:rsidRPr="008153ED">
              <w:rPr>
                <w:rFonts w:ascii="Arial Nova Light" w:hAnsi="Arial Nova Light"/>
                <w:sz w:val="18"/>
                <w:szCs w:val="18"/>
              </w:rPr>
              <w:t>Indonesia green sukuk; qualitative/accounting analysis</w:t>
            </w:r>
          </w:p>
        </w:tc>
        <w:tc>
          <w:tcPr>
            <w:tcW w:w="3060" w:type="dxa"/>
          </w:tcPr>
          <w:p w14:paraId="1B8D0358" w14:textId="77777777" w:rsidR="00000000" w:rsidRPr="008153ED" w:rsidRDefault="00000000">
            <w:pPr>
              <w:rPr>
                <w:sz w:val="18"/>
                <w:szCs w:val="18"/>
              </w:rPr>
            </w:pPr>
            <w:r w:rsidRPr="008153ED">
              <w:rPr>
                <w:rFonts w:ascii="Arial Nova Light" w:hAnsi="Arial Nova Light"/>
                <w:sz w:val="18"/>
                <w:szCs w:val="18"/>
              </w:rPr>
              <w:t>Impact finance needs traceability from funds to outcomes.</w:t>
            </w:r>
          </w:p>
        </w:tc>
        <w:tc>
          <w:tcPr>
            <w:tcW w:w="2268" w:type="dxa"/>
          </w:tcPr>
          <w:p w14:paraId="0BC5FE6B" w14:textId="77777777" w:rsidR="00000000" w:rsidRPr="008153ED" w:rsidRDefault="00000000">
            <w:pPr>
              <w:rPr>
                <w:sz w:val="18"/>
                <w:szCs w:val="18"/>
              </w:rPr>
            </w:pPr>
            <w:r w:rsidRPr="008153ED">
              <w:rPr>
                <w:rFonts w:ascii="Arial Nova Light" w:hAnsi="Arial Nova Light"/>
                <w:sz w:val="18"/>
                <w:szCs w:val="18"/>
              </w:rPr>
              <w:t>Milestone and impact-linked financing.</w:t>
            </w:r>
          </w:p>
        </w:tc>
      </w:tr>
      <w:tr w:rsidR="008E0CD7" w:rsidRPr="008153ED" w14:paraId="1E2AE5A4" w14:textId="77777777" w:rsidTr="008153ED">
        <w:tc>
          <w:tcPr>
            <w:tcW w:w="1757" w:type="dxa"/>
          </w:tcPr>
          <w:p w14:paraId="27CE4697" w14:textId="77777777" w:rsidR="00000000" w:rsidRPr="008153ED" w:rsidRDefault="00000000">
            <w:pPr>
              <w:rPr>
                <w:sz w:val="18"/>
                <w:szCs w:val="18"/>
              </w:rPr>
            </w:pPr>
            <w:r w:rsidRPr="008153ED">
              <w:rPr>
                <w:rFonts w:ascii="Arial Nova Light" w:hAnsi="Arial Nova Light"/>
                <w:sz w:val="18"/>
                <w:szCs w:val="18"/>
              </w:rPr>
              <w:t>Jaiyeoba et al. (2025a)</w:t>
            </w:r>
          </w:p>
        </w:tc>
        <w:tc>
          <w:tcPr>
            <w:tcW w:w="1928" w:type="dxa"/>
          </w:tcPr>
          <w:p w14:paraId="2F76CA93" w14:textId="77777777" w:rsidR="00000000" w:rsidRPr="008153ED" w:rsidRDefault="00000000">
            <w:pPr>
              <w:rPr>
                <w:sz w:val="18"/>
                <w:szCs w:val="18"/>
              </w:rPr>
            </w:pPr>
            <w:r w:rsidRPr="008153ED">
              <w:rPr>
                <w:rFonts w:ascii="Arial Nova Light" w:hAnsi="Arial Nova Light"/>
                <w:sz w:val="18"/>
                <w:szCs w:val="18"/>
              </w:rPr>
              <w:t>Halal businesses; consumer survey</w:t>
            </w:r>
          </w:p>
        </w:tc>
        <w:tc>
          <w:tcPr>
            <w:tcW w:w="3060" w:type="dxa"/>
          </w:tcPr>
          <w:p w14:paraId="7B463A52" w14:textId="77777777" w:rsidR="00000000" w:rsidRPr="008153ED" w:rsidRDefault="00000000">
            <w:pPr>
              <w:rPr>
                <w:sz w:val="18"/>
                <w:szCs w:val="18"/>
              </w:rPr>
            </w:pPr>
            <w:r w:rsidRPr="008153ED">
              <w:rPr>
                <w:rFonts w:ascii="Arial Nova Light" w:hAnsi="Arial Nova Light"/>
                <w:sz w:val="18"/>
                <w:szCs w:val="18"/>
              </w:rPr>
              <w:t>Integrated sustainability practices strengthen halal-business sustainability.</w:t>
            </w:r>
          </w:p>
        </w:tc>
        <w:tc>
          <w:tcPr>
            <w:tcW w:w="2268" w:type="dxa"/>
          </w:tcPr>
          <w:p w14:paraId="50386296" w14:textId="77777777" w:rsidR="00000000" w:rsidRPr="008153ED" w:rsidRDefault="00000000">
            <w:pPr>
              <w:rPr>
                <w:sz w:val="18"/>
                <w:szCs w:val="18"/>
              </w:rPr>
            </w:pPr>
            <w:r w:rsidRPr="008153ED">
              <w:rPr>
                <w:rFonts w:ascii="Arial Nova Light" w:hAnsi="Arial Nova Light"/>
                <w:sz w:val="18"/>
                <w:szCs w:val="18"/>
              </w:rPr>
              <w:t>Halal legitimacy plus sustainability.</w:t>
            </w:r>
          </w:p>
        </w:tc>
      </w:tr>
      <w:tr w:rsidR="008E0CD7" w:rsidRPr="008153ED" w14:paraId="04D71E72" w14:textId="77777777" w:rsidTr="008153ED">
        <w:tc>
          <w:tcPr>
            <w:tcW w:w="1757" w:type="dxa"/>
          </w:tcPr>
          <w:p w14:paraId="6EB8938D" w14:textId="77777777" w:rsidR="00000000" w:rsidRPr="008153ED" w:rsidRDefault="00000000">
            <w:pPr>
              <w:rPr>
                <w:sz w:val="18"/>
                <w:szCs w:val="18"/>
              </w:rPr>
            </w:pPr>
            <w:r w:rsidRPr="008153ED">
              <w:rPr>
                <w:rFonts w:ascii="Arial Nova Light" w:hAnsi="Arial Nova Light"/>
                <w:sz w:val="18"/>
                <w:szCs w:val="18"/>
              </w:rPr>
              <w:t>Jaiyeoba et al. (2025b)</w:t>
            </w:r>
          </w:p>
        </w:tc>
        <w:tc>
          <w:tcPr>
            <w:tcW w:w="1928" w:type="dxa"/>
          </w:tcPr>
          <w:p w14:paraId="3A01734C" w14:textId="77777777" w:rsidR="00000000" w:rsidRPr="008153ED" w:rsidRDefault="00000000">
            <w:pPr>
              <w:rPr>
                <w:sz w:val="18"/>
                <w:szCs w:val="18"/>
              </w:rPr>
            </w:pPr>
            <w:r w:rsidRPr="008153ED">
              <w:rPr>
                <w:rFonts w:ascii="Arial Nova Light" w:hAnsi="Arial Nova Light"/>
                <w:sz w:val="18"/>
                <w:szCs w:val="18"/>
              </w:rPr>
              <w:t>Halal SMEs; SEM</w:t>
            </w:r>
          </w:p>
        </w:tc>
        <w:tc>
          <w:tcPr>
            <w:tcW w:w="3060" w:type="dxa"/>
          </w:tcPr>
          <w:p w14:paraId="64B0F3D0" w14:textId="77777777" w:rsidR="00000000" w:rsidRPr="008153ED" w:rsidRDefault="00000000">
            <w:pPr>
              <w:rPr>
                <w:sz w:val="18"/>
                <w:szCs w:val="18"/>
              </w:rPr>
            </w:pPr>
            <w:r w:rsidRPr="008153ED">
              <w:rPr>
                <w:rFonts w:ascii="Arial Nova Light" w:hAnsi="Arial Nova Light"/>
                <w:sz w:val="18"/>
                <w:szCs w:val="18"/>
              </w:rPr>
              <w:t>E-payment and e-commerce enhance supply-chain performance.</w:t>
            </w:r>
          </w:p>
        </w:tc>
        <w:tc>
          <w:tcPr>
            <w:tcW w:w="2268" w:type="dxa"/>
          </w:tcPr>
          <w:p w14:paraId="73865E28" w14:textId="77777777" w:rsidR="00000000" w:rsidRPr="008153ED" w:rsidRDefault="00000000">
            <w:pPr>
              <w:rPr>
                <w:sz w:val="18"/>
                <w:szCs w:val="18"/>
              </w:rPr>
            </w:pPr>
            <w:r w:rsidRPr="008153ED">
              <w:rPr>
                <w:rFonts w:ascii="Arial Nova Light" w:hAnsi="Arial Nova Light"/>
                <w:sz w:val="18"/>
                <w:szCs w:val="18"/>
              </w:rPr>
              <w:t>Digital finance as scaling infrastructure.</w:t>
            </w:r>
          </w:p>
        </w:tc>
      </w:tr>
      <w:tr w:rsidR="008E0CD7" w:rsidRPr="008153ED" w14:paraId="505DEA47" w14:textId="77777777" w:rsidTr="008153ED">
        <w:tc>
          <w:tcPr>
            <w:tcW w:w="1757" w:type="dxa"/>
          </w:tcPr>
          <w:p w14:paraId="4BB79CE8" w14:textId="77777777" w:rsidR="00000000" w:rsidRPr="008153ED" w:rsidRDefault="00000000">
            <w:pPr>
              <w:rPr>
                <w:sz w:val="18"/>
                <w:szCs w:val="18"/>
              </w:rPr>
            </w:pPr>
            <w:r w:rsidRPr="008153ED">
              <w:rPr>
                <w:rFonts w:ascii="Arial Nova Light" w:hAnsi="Arial Nova Light"/>
                <w:sz w:val="18"/>
                <w:szCs w:val="18"/>
              </w:rPr>
              <w:lastRenderedPageBreak/>
              <w:t>Dey et al. (2022)</w:t>
            </w:r>
          </w:p>
        </w:tc>
        <w:tc>
          <w:tcPr>
            <w:tcW w:w="1928" w:type="dxa"/>
          </w:tcPr>
          <w:p w14:paraId="5E0B5189" w14:textId="77777777" w:rsidR="00000000" w:rsidRPr="008153ED" w:rsidRDefault="00000000">
            <w:pPr>
              <w:rPr>
                <w:sz w:val="18"/>
                <w:szCs w:val="18"/>
              </w:rPr>
            </w:pPr>
            <w:r w:rsidRPr="008153ED">
              <w:rPr>
                <w:rFonts w:ascii="Arial Nova Light" w:hAnsi="Arial Nova Light"/>
                <w:sz w:val="18"/>
                <w:szCs w:val="18"/>
              </w:rPr>
              <w:t>European SMEs; mixed methods</w:t>
            </w:r>
          </w:p>
        </w:tc>
        <w:tc>
          <w:tcPr>
            <w:tcW w:w="3060" w:type="dxa"/>
          </w:tcPr>
          <w:p w14:paraId="7343EC21" w14:textId="77777777" w:rsidR="00000000" w:rsidRPr="008153ED" w:rsidRDefault="00000000">
            <w:pPr>
              <w:rPr>
                <w:sz w:val="18"/>
                <w:szCs w:val="18"/>
              </w:rPr>
            </w:pPr>
            <w:r w:rsidRPr="008153ED">
              <w:rPr>
                <w:rFonts w:ascii="Arial Nova Light" w:hAnsi="Arial Nova Light"/>
                <w:sz w:val="18"/>
                <w:szCs w:val="18"/>
              </w:rPr>
              <w:t>Circular practices improve environmental performance.</w:t>
            </w:r>
          </w:p>
        </w:tc>
        <w:tc>
          <w:tcPr>
            <w:tcW w:w="2268" w:type="dxa"/>
          </w:tcPr>
          <w:p w14:paraId="0FC69565" w14:textId="77777777" w:rsidR="00000000" w:rsidRPr="008153ED" w:rsidRDefault="00000000">
            <w:pPr>
              <w:rPr>
                <w:sz w:val="18"/>
                <w:szCs w:val="18"/>
              </w:rPr>
            </w:pPr>
            <w:r w:rsidRPr="008153ED">
              <w:rPr>
                <w:rFonts w:ascii="Arial Nova Light" w:hAnsi="Arial Nova Light"/>
                <w:sz w:val="18"/>
                <w:szCs w:val="18"/>
              </w:rPr>
              <w:t>Circular capability layer.</w:t>
            </w:r>
          </w:p>
        </w:tc>
      </w:tr>
      <w:tr w:rsidR="008E0CD7" w:rsidRPr="008153ED" w14:paraId="0B6267E9" w14:textId="77777777" w:rsidTr="008153ED">
        <w:tc>
          <w:tcPr>
            <w:tcW w:w="1757" w:type="dxa"/>
          </w:tcPr>
          <w:p w14:paraId="3DF1948A" w14:textId="77777777" w:rsidR="00000000" w:rsidRPr="008153ED" w:rsidRDefault="00000000">
            <w:pPr>
              <w:rPr>
                <w:sz w:val="18"/>
                <w:szCs w:val="18"/>
              </w:rPr>
            </w:pPr>
            <w:r w:rsidRPr="008153ED">
              <w:rPr>
                <w:rFonts w:ascii="Arial Nova Light" w:hAnsi="Arial Nova Light"/>
                <w:sz w:val="18"/>
                <w:szCs w:val="18"/>
              </w:rPr>
              <w:t>Nudurupati et al. (2022)</w:t>
            </w:r>
          </w:p>
        </w:tc>
        <w:tc>
          <w:tcPr>
            <w:tcW w:w="1928" w:type="dxa"/>
          </w:tcPr>
          <w:p w14:paraId="77DC3770" w14:textId="77777777" w:rsidR="00000000" w:rsidRPr="008153ED" w:rsidRDefault="00000000">
            <w:pPr>
              <w:rPr>
                <w:sz w:val="18"/>
                <w:szCs w:val="18"/>
              </w:rPr>
            </w:pPr>
            <w:r w:rsidRPr="008153ED">
              <w:rPr>
                <w:rFonts w:ascii="Arial Nova Light" w:hAnsi="Arial Nova Light"/>
                <w:sz w:val="18"/>
                <w:szCs w:val="18"/>
              </w:rPr>
              <w:t>Indian SMEs; multiple cases</w:t>
            </w:r>
          </w:p>
        </w:tc>
        <w:tc>
          <w:tcPr>
            <w:tcW w:w="3060" w:type="dxa"/>
          </w:tcPr>
          <w:p w14:paraId="5647C490" w14:textId="77777777" w:rsidR="00000000" w:rsidRPr="008153ED" w:rsidRDefault="00000000">
            <w:pPr>
              <w:rPr>
                <w:sz w:val="18"/>
                <w:szCs w:val="18"/>
              </w:rPr>
            </w:pPr>
            <w:r w:rsidRPr="008153ED">
              <w:rPr>
                <w:rFonts w:ascii="Arial Nova Light" w:hAnsi="Arial Nova Light"/>
                <w:sz w:val="18"/>
                <w:szCs w:val="18"/>
              </w:rPr>
              <w:t>Skills, digitalization and collaboration shape circular adoption.</w:t>
            </w:r>
          </w:p>
        </w:tc>
        <w:tc>
          <w:tcPr>
            <w:tcW w:w="2268" w:type="dxa"/>
          </w:tcPr>
          <w:p w14:paraId="1A4CB257" w14:textId="77777777" w:rsidR="00000000" w:rsidRPr="008153ED" w:rsidRDefault="00000000">
            <w:pPr>
              <w:rPr>
                <w:sz w:val="18"/>
                <w:szCs w:val="18"/>
              </w:rPr>
            </w:pPr>
            <w:r w:rsidRPr="008153ED">
              <w:rPr>
                <w:rFonts w:ascii="Arial Nova Light" w:hAnsi="Arial Nova Light"/>
                <w:sz w:val="18"/>
                <w:szCs w:val="18"/>
              </w:rPr>
              <w:t>Capability and ecosystem enablers.</w:t>
            </w:r>
          </w:p>
        </w:tc>
      </w:tr>
      <w:tr w:rsidR="008E0CD7" w:rsidRPr="008153ED" w14:paraId="2CD68F4A" w14:textId="77777777" w:rsidTr="008153ED">
        <w:tc>
          <w:tcPr>
            <w:tcW w:w="1757" w:type="dxa"/>
          </w:tcPr>
          <w:p w14:paraId="593900E0" w14:textId="77777777" w:rsidR="00000000" w:rsidRPr="008153ED" w:rsidRDefault="00000000">
            <w:pPr>
              <w:rPr>
                <w:sz w:val="18"/>
                <w:szCs w:val="18"/>
              </w:rPr>
            </w:pPr>
            <w:r w:rsidRPr="008153ED">
              <w:rPr>
                <w:rFonts w:ascii="Arial Nova Light" w:hAnsi="Arial Nova Light"/>
                <w:sz w:val="18"/>
                <w:szCs w:val="18"/>
              </w:rPr>
              <w:t>Re &amp; Magnani (2022)</w:t>
            </w:r>
          </w:p>
        </w:tc>
        <w:tc>
          <w:tcPr>
            <w:tcW w:w="1928" w:type="dxa"/>
          </w:tcPr>
          <w:p w14:paraId="7AE38A28" w14:textId="77777777" w:rsidR="00000000" w:rsidRPr="008153ED" w:rsidRDefault="00000000">
            <w:pPr>
              <w:rPr>
                <w:sz w:val="18"/>
                <w:szCs w:val="18"/>
              </w:rPr>
            </w:pPr>
            <w:r w:rsidRPr="008153ED">
              <w:rPr>
                <w:rFonts w:ascii="Arial Nova Light" w:hAnsi="Arial Nova Light"/>
                <w:sz w:val="18"/>
                <w:szCs w:val="18"/>
              </w:rPr>
              <w:t>Born-circular SMEs; multiple cases</w:t>
            </w:r>
          </w:p>
        </w:tc>
        <w:tc>
          <w:tcPr>
            <w:tcW w:w="3060" w:type="dxa"/>
          </w:tcPr>
          <w:p w14:paraId="0638193F" w14:textId="77777777" w:rsidR="00000000" w:rsidRPr="008153ED" w:rsidRDefault="00000000">
            <w:pPr>
              <w:rPr>
                <w:sz w:val="18"/>
                <w:szCs w:val="18"/>
              </w:rPr>
            </w:pPr>
            <w:r w:rsidRPr="008153ED">
              <w:rPr>
                <w:rFonts w:ascii="Arial Nova Light" w:hAnsi="Arial Nova Light"/>
                <w:sz w:val="18"/>
                <w:szCs w:val="18"/>
              </w:rPr>
              <w:t>Value co-creation is central to circular entrepreneurship.</w:t>
            </w:r>
          </w:p>
        </w:tc>
        <w:tc>
          <w:tcPr>
            <w:tcW w:w="2268" w:type="dxa"/>
          </w:tcPr>
          <w:p w14:paraId="312D2AFA" w14:textId="77777777" w:rsidR="00000000" w:rsidRPr="008153ED" w:rsidRDefault="00000000">
            <w:pPr>
              <w:rPr>
                <w:sz w:val="18"/>
                <w:szCs w:val="18"/>
              </w:rPr>
            </w:pPr>
            <w:r w:rsidRPr="008153ED">
              <w:rPr>
                <w:rFonts w:ascii="Arial Nova Light" w:hAnsi="Arial Nova Light"/>
                <w:sz w:val="18"/>
                <w:szCs w:val="18"/>
              </w:rPr>
              <w:t>Partnership-based growth logic.</w:t>
            </w:r>
          </w:p>
        </w:tc>
      </w:tr>
      <w:tr w:rsidR="008E0CD7" w:rsidRPr="008153ED" w14:paraId="519A14AC" w14:textId="77777777" w:rsidTr="008153ED">
        <w:tc>
          <w:tcPr>
            <w:tcW w:w="1757" w:type="dxa"/>
          </w:tcPr>
          <w:p w14:paraId="3E43D4E3" w14:textId="77777777" w:rsidR="00000000" w:rsidRPr="008153ED" w:rsidRDefault="00000000">
            <w:pPr>
              <w:rPr>
                <w:sz w:val="18"/>
                <w:szCs w:val="18"/>
              </w:rPr>
            </w:pPr>
            <w:r w:rsidRPr="008153ED">
              <w:rPr>
                <w:rFonts w:ascii="Arial Nova Light" w:hAnsi="Arial Nova Light"/>
                <w:sz w:val="18"/>
                <w:szCs w:val="18"/>
              </w:rPr>
              <w:t>Saifurrahman &amp; Kassim (2024)</w:t>
            </w:r>
          </w:p>
        </w:tc>
        <w:tc>
          <w:tcPr>
            <w:tcW w:w="1928" w:type="dxa"/>
          </w:tcPr>
          <w:p w14:paraId="4B4ADB7C" w14:textId="77777777" w:rsidR="00000000" w:rsidRPr="008153ED" w:rsidRDefault="00000000">
            <w:pPr>
              <w:rPr>
                <w:sz w:val="18"/>
                <w:szCs w:val="18"/>
              </w:rPr>
            </w:pPr>
            <w:r w:rsidRPr="008153ED">
              <w:rPr>
                <w:rFonts w:ascii="Arial Nova Light" w:hAnsi="Arial Nova Light"/>
                <w:sz w:val="18"/>
                <w:szCs w:val="18"/>
              </w:rPr>
              <w:t>Indonesia; Islamic banks and MSMEs</w:t>
            </w:r>
          </w:p>
        </w:tc>
        <w:tc>
          <w:tcPr>
            <w:tcW w:w="3060" w:type="dxa"/>
          </w:tcPr>
          <w:p w14:paraId="11D307C8" w14:textId="77777777" w:rsidR="00000000" w:rsidRPr="008153ED" w:rsidRDefault="00000000">
            <w:pPr>
              <w:rPr>
                <w:sz w:val="18"/>
                <w:szCs w:val="18"/>
              </w:rPr>
            </w:pPr>
            <w:r w:rsidRPr="008153ED">
              <w:rPr>
                <w:rFonts w:ascii="Arial Nova Light" w:hAnsi="Arial Nova Light"/>
                <w:sz w:val="18"/>
                <w:szCs w:val="18"/>
              </w:rPr>
              <w:t>Regulatory frictions constrain Islamic financial inclusion.</w:t>
            </w:r>
          </w:p>
        </w:tc>
        <w:tc>
          <w:tcPr>
            <w:tcW w:w="2268" w:type="dxa"/>
          </w:tcPr>
          <w:p w14:paraId="67DE2E10" w14:textId="77777777" w:rsidR="00000000" w:rsidRPr="008153ED" w:rsidRDefault="00000000">
            <w:pPr>
              <w:rPr>
                <w:sz w:val="18"/>
                <w:szCs w:val="18"/>
              </w:rPr>
            </w:pPr>
            <w:r w:rsidRPr="008153ED">
              <w:rPr>
                <w:rFonts w:ascii="Arial Nova Light" w:hAnsi="Arial Nova Light"/>
                <w:sz w:val="18"/>
                <w:szCs w:val="18"/>
              </w:rPr>
              <w:t>Policy-environment moderator.</w:t>
            </w:r>
          </w:p>
        </w:tc>
      </w:tr>
    </w:tbl>
    <w:p w14:paraId="3EC13CEB" w14:textId="2E9CE1FA" w:rsidR="00A97C24" w:rsidRPr="00F57F77" w:rsidRDefault="00000000" w:rsidP="007052BA">
      <w:pPr>
        <w:pStyle w:val="Heading1"/>
        <w:numPr>
          <w:ilvl w:val="0"/>
          <w:numId w:val="5"/>
        </w:numPr>
        <w:ind w:left="270"/>
        <w:rPr>
          <w:rFonts w:ascii="Arial Nova Light" w:hAnsi="Arial Nova Light"/>
        </w:rPr>
      </w:pPr>
      <w:r>
        <w:rPr>
          <w:rFonts w:ascii="Arial Nova Light" w:hAnsi="Arial Nova Light"/>
        </w:rPr>
        <w:t>Methods</w:t>
      </w:r>
    </w:p>
    <w:p w14:paraId="164ADF3C"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This study uses a critical integrative literature review to construct a conceptual framework rather than to estimate a causal effect. The review was designed around the conference theme of sustainable halal startup growth and focused on the intersection of Islamic finance, circular economy, halal business, and entrepreneurial sustainability. Literature was identified through publisher databases and bibliographic discovery tools, prioritizing peer-reviewed journals indexed in major international databases and published between 2021 and 2026. The search logic combined terms including “Islamic finance,” “Islamic sustainable finance,” “Islamic social finance,” “halal SME,” “halal business,” “financial innovation,” “circular economy,” “green finance,” “sustainable entrepreneurship,” and “MSME financing.”</w:t>
      </w:r>
    </w:p>
    <w:p w14:paraId="5162CECC"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Inclusion criteria were: (1) publication during 2021–2026; (2) direct relevance to at least one of the four focal domains; (3) peer-reviewed journal status; (4) sufficient methodological or conceptual detail to support synthesis; and (5) relevance to emerging markets, SMEs/startups, Islamic finance, halal industries, sustainability, or circular business models. Empirical studies were prioritized to satisfy the template requirement that most supporting references originate from primary research. Review papers were retained only when they provided field-level synthesis or a recent research agenda. Nineteen publications formed the final evidence base used in the narrative synthesis and reference list.</w:t>
      </w:r>
    </w:p>
    <w:p w14:paraId="56A44552"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Analysis proceeded in three stages. First, each study was coded by financing mechanism, sustainability mechanism, enterprise capability, and outcome. Second, recurring mechanisms were grouped into higher-order categories. Four Islamic-finance functions emerged: risk-sharing capital, digitally enabled finance, integrated commercial–social finance, and green/impact finance. Four enterprise capability categories also emerged: resource-efficient design, circular value recovery, halal integrity and traceability, and digital supply-chain coordination. Third, the categories were connected into a sequential explanatory model in which finance enables capabilities, capabilities shape market readiness, and cross-cutting governance conditions moderate the strength of these relationships.</w:t>
      </w:r>
    </w:p>
    <w:p w14:paraId="77043320"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Because the study is a literature-based conceptual synthesis, no human participants, personal data, or experimental interventions were involved. No statistical meta-analysis was attempted because the reviewed studies differ substantially in research design, unit of analysis, geography, and outcome measurement. The framework should therefore be interpreted as a theory-building model for subsequent empirical validation rather than as a quantified estimate of effect size.</w:t>
      </w:r>
    </w:p>
    <w:p w14:paraId="772A58BE" w14:textId="5C776FA8" w:rsidR="00A97C24" w:rsidRPr="00F57F77" w:rsidRDefault="00000000" w:rsidP="007052BA">
      <w:pPr>
        <w:pStyle w:val="Heading1"/>
        <w:numPr>
          <w:ilvl w:val="0"/>
          <w:numId w:val="5"/>
        </w:numPr>
        <w:ind w:left="270"/>
        <w:rPr>
          <w:rFonts w:ascii="Arial Nova Light" w:hAnsi="Arial Nova Light"/>
        </w:rPr>
      </w:pPr>
      <w:r>
        <w:rPr>
          <w:rFonts w:ascii="Arial Nova Light" w:hAnsi="Arial Nova Light"/>
        </w:rPr>
        <w:t>Results and Discussion</w:t>
      </w:r>
    </w:p>
    <w:p w14:paraId="2E9B769F" w14:textId="77777777" w:rsidR="00A97C24" w:rsidRPr="00F57F77" w:rsidRDefault="00000000" w:rsidP="008153ED">
      <w:pPr>
        <w:pStyle w:val="Heading1"/>
        <w:numPr>
          <w:ilvl w:val="0"/>
          <w:numId w:val="0"/>
        </w:numPr>
        <w:ind w:left="-90"/>
        <w:rPr>
          <w:rFonts w:ascii="Arial Nova Light" w:hAnsi="Arial Nova Light"/>
        </w:rPr>
      </w:pPr>
      <w:r>
        <w:rPr>
          <w:rFonts w:ascii="Arial Nova Light" w:hAnsi="Arial Nova Light"/>
        </w:rPr>
        <w:t>4.1 Four Financing Functions for Sustainable Halal Startups</w:t>
      </w:r>
    </w:p>
    <w:p w14:paraId="1D228682"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 xml:space="preserve">The synthesis indicates that startup-oriented Islamic finance should be understood as a portfolio of complementary functions rather than a single contract. The first function is risk-sharing capital. Early-stage firms face uncertainty that makes rigid repayment schedules problematic. Partnership-based Islamic contracts can potentially match this uncertainty, but only when accompanied by strong governance, information sharing, milestone control, and agreed exit rules. </w:t>
      </w:r>
      <w:r>
        <w:rPr>
          <w:rFonts w:ascii="Arial Nova Light" w:hAnsi="Arial Nova Light"/>
          <w:sz w:val="22"/>
          <w:szCs w:val="22"/>
        </w:rPr>
        <w:lastRenderedPageBreak/>
        <w:t>The contribution of the IFCGR framework is to link risk sharing to capability formation: financing should be released against business-development milestones such as prototype completion, halal certification, verified customer acquisition, or circular-design implementation rather than against collateral alone.</w:t>
      </w:r>
    </w:p>
    <w:p w14:paraId="508EED69"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The second function is digitally enabled finance. Digital payment, e-commerce, crowdfunding, and data integration can reduce transaction frictions and create auditable records. The empirical evidence on halal SMEs shows that e-payment and e-commerce contribute positively to supply-chain performance (Jaiyeoba et al., 2025b). For Islamic financiers, transaction data can improve monitoring and reduce information asymmetry. For startups, digital infrastructure strengthens market access and creates traceable evidence for Shariah, halal, and sustainability assurance. This suggests that Islamic fintech should be embedded in financing design rather than treated as a separate technology layer.</w:t>
      </w:r>
    </w:p>
    <w:p w14:paraId="1636BA3A"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The third function is blended Islamic commercial–social finance. Ascarya et al. (2022, 2023) demonstrate institutional possibilities for integrating commercial finance with zakat- and waqf-related mechanisms. In startup ecosystems, a practical division of roles is possible: philanthropic or social finance can support incubation, capacity building, halal certification, proof-of-concept, or shared circular infrastructure, while commercial capital funds scalable revenue activities. This approach can reduce the financing mismatch that occurs when socially valuable but non-revenue activities are forced into short-tenor commercial financing.</w:t>
      </w:r>
    </w:p>
    <w:p w14:paraId="4C92F7D2"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The fourth function is green and impact-oriented Islamic finance. Circular ventures often require capital expenditures whose benefits appear through lower material use, reduced waste, new recovery revenue, or reputational gains over time. Saarinen and Aarikka-Stenroos (2023) show that finance itself can be a driver or barrier for circular business. The Islamic-finance response should therefore include sustainability-linked pricing, green asset finance, impact funds, or ecosystem-level sukuk that finance shared recycling, cold-chain, renewable-energy, testing, or traceability infrastructure. Importantly, financing claims should be connected to measurable outcomes, consistent with the traceability logic emphasized by Raeni et al. (2022).</w:t>
      </w:r>
    </w:p>
    <w:p w14:paraId="3D3A0855" w14:textId="77777777" w:rsidR="00A97C24" w:rsidRPr="00F57F77" w:rsidRDefault="00000000" w:rsidP="008153ED">
      <w:pPr>
        <w:pStyle w:val="Heading1"/>
        <w:numPr>
          <w:ilvl w:val="0"/>
          <w:numId w:val="0"/>
        </w:numPr>
        <w:rPr>
          <w:rFonts w:ascii="Arial Nova Light" w:hAnsi="Arial Nova Light"/>
        </w:rPr>
      </w:pPr>
      <w:r>
        <w:rPr>
          <w:rFonts w:ascii="Arial Nova Light" w:hAnsi="Arial Nova Light"/>
        </w:rPr>
        <w:t>4.2 The IFCGR Framework: From Finance to Circular Capability and Global Readiness</w:t>
      </w:r>
    </w:p>
    <w:p w14:paraId="765E84EF"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Figure 1 presents the IFCGR framework. The framework is intentionally sequential. Islamic-finance architecture is positioned as an enabling resource, not as the final outcome. Financing creates value when it builds capabilities that a halal startup can repeatedly deploy: resource-efficient product design, responsible sourcing, recovery and reuse, halal assurance, digital traceability, and supply-chain coordination. These capabilities then improve startup outcomes such as resilience, legitimacy, scalability, and readiness for international partnerships or export markets.</w:t>
      </w:r>
    </w:p>
    <w:p w14:paraId="680AF2B4" w14:textId="3A36358A" w:rsidR="00000000" w:rsidRDefault="008153ED">
      <w:pPr>
        <w:jc w:val="center"/>
      </w:pPr>
      <w:r>
        <w:rPr>
          <w:noProof/>
        </w:rPr>
        <w:lastRenderedPageBreak/>
        <w:drawing>
          <wp:inline distT="0" distB="0" distL="0" distR="0" wp14:anchorId="136FD8C0" wp14:editId="71640230">
            <wp:extent cx="5760085" cy="3241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3241675"/>
                    </a:xfrm>
                    <a:prstGeom prst="rect">
                      <a:avLst/>
                    </a:prstGeom>
                    <a:noFill/>
                    <a:ln>
                      <a:noFill/>
                    </a:ln>
                  </pic:spPr>
                </pic:pic>
              </a:graphicData>
            </a:graphic>
          </wp:inline>
        </w:drawing>
      </w:r>
    </w:p>
    <w:p w14:paraId="231EBFC9" w14:textId="77777777" w:rsidR="00E32990" w:rsidRDefault="00000000">
      <w:pPr>
        <w:spacing w:after="0"/>
        <w:jc w:val="center"/>
        <w:rPr>
          <w:rFonts w:ascii="Arial Nova Light" w:hAnsi="Arial Nova Light"/>
          <w:sz w:val="22"/>
          <w:szCs w:val="22"/>
        </w:rPr>
      </w:pPr>
      <w:r>
        <w:rPr>
          <w:rFonts w:ascii="Arial Nova Light" w:hAnsi="Arial Nova Light"/>
          <w:b/>
          <w:sz w:val="22"/>
          <w:szCs w:val="22"/>
        </w:rPr>
        <w:t>Fig. 1. Islamic Finance–Circularity–Global Readiness (IFCGR) framework.</w:t>
      </w:r>
    </w:p>
    <w:p w14:paraId="6DB03857"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The first transmission mechanism is financial resilience. Risk-sharing and blended finance can reduce inappropriate debt pressure during the startup phase and can preserve liquidity for innovation. However, the framework does not assume that all Islamic contracts are automatically startup-friendly. Murabahah and other trade-based instruments may be appropriate for identifiable equipment or inventory, while equity-like contracts may be better suited to uncertain innovation. Instrument choice should therefore follow the economic substance of the financed activity, cash-flow profile, and governance capacity.</w:t>
      </w:r>
    </w:p>
    <w:p w14:paraId="1C6E55E6"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The second mechanism is halal market legitimacy. Halal businesses must demonstrate not only permissible products but credible processes. Integrated sustainability practices are increasingly important to consumer perceptions of halal business sustainability (Jaiyeoba et al., 2025a). Circularity can reinforce this legitimacy when it improves responsible sourcing, reduces waste, and supports transparent production. Yet sustainability claims can also create greenwashing risk. The framework therefore places halal certification, Shariah governance, and impact disclosure as cross-cutting enablers rather than optional communication tools.</w:t>
      </w:r>
    </w:p>
    <w:p w14:paraId="4FE2086F"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The third mechanism is scalability through digital coordination. Digital financial records, e-commerce, and traceability systems can connect financing milestones with operational performance. This is particularly relevant for cross-border halal markets, where buyers and partners require reliable documentation. Digital systems can create a chain of evidence linking financing use, supplier compliance, halal assurance, inventory movement, and sustainability indicators. Such visibility can lower due-diligence costs for financiers and commercial partners.</w:t>
      </w:r>
    </w:p>
    <w:p w14:paraId="2D6A66CA"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The fourth mechanism is ecosystem access. Circular business models are rarely firm-isolated; they depend on logistics providers, recyclers, certifiers, technology firms, financial institutions, regulators, and customers. Re and Magnani (2022) show that circular entrepreneurship relies on value co-creation, while Nudurupati et al. (2022) identify multi-stakeholder cooperation as a critical factor in SME circular transition. Islamic financial institutions can play an ecosystem-orchestrating role by financing clusters, supplier-development programs, shared infrastructure, and partnership platforms rather than evaluating each startup as a stand-alone borrower.</w:t>
      </w:r>
    </w:p>
    <w:p w14:paraId="65F60C67" w14:textId="77777777" w:rsidR="00A97C24" w:rsidRPr="00F57F77" w:rsidRDefault="00000000" w:rsidP="008153ED">
      <w:pPr>
        <w:pStyle w:val="Heading1"/>
        <w:numPr>
          <w:ilvl w:val="0"/>
          <w:numId w:val="0"/>
        </w:numPr>
        <w:ind w:left="720" w:hanging="360"/>
        <w:jc w:val="both"/>
        <w:rPr>
          <w:rFonts w:ascii="Arial Nova Light" w:hAnsi="Arial Nova Light"/>
        </w:rPr>
      </w:pPr>
      <w:r>
        <w:rPr>
          <w:rFonts w:ascii="Arial Nova Light" w:hAnsi="Arial Nova Light"/>
        </w:rPr>
        <w:lastRenderedPageBreak/>
        <w:t>4.3 Implications for Islamic Financial Institutions, Policymakers, and Halal Startup Ecosystems</w:t>
      </w:r>
    </w:p>
    <w:p w14:paraId="2B46AE06"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For Islamic financial institutions, the framework implies a shift from product-centric to capability-centric financing. A startup financing assessment should include at least five dimensions: Shariah and halal integrity, entrepreneurial viability, circular-resource strategy, digital traceability, and market scalability. Credit committees could use stage-gated structures in which financing is matched to business maturity. Early stages may use incubation grants, qard hasan, cash-waqf support, or equity-like contracts; commercialization may use musharakah, mudarabah, murabahah for productive assets, or Islamic crowdfunding; growth stages may use larger partnership facilities, green asset finance, or capital-market structures through aggregators.</w:t>
      </w:r>
    </w:p>
    <w:p w14:paraId="518EF784"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For policymakers, the main issue is ecosystem coordination. Regulatory frictions can hinder Islamic-bank–MSME inclusion in Indonesia (Saifurrahman &amp; Kassim, 2024), while circular-economy research consistently shows the importance of policy and institutional support (Dey et al., 2022; Nudurupati et al., 2022). A coherent policy package would align halal certification, Islamic financing incentives, green-taxonomy criteria, digital identity, SME data infrastructure, and export facilitation. Shared verification standards are especially important so that small firms are not required to maintain multiple costly reporting systems for halal, Shariah, ESG, and financing compliance.</w:t>
      </w:r>
    </w:p>
    <w:p w14:paraId="74BA6CE6"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For universities, incubators, and associations, the framework highlights the need to prepare startups for finance before financing applications are submitted. Startup readiness programs should integrate Shariah financial literacy, unit economics, circular business-model design, halal assurance, digital bookkeeping, impact measurement, and export documentation. This is consistent with the conference theme: sustainable growth of halal startups emerges from synergy among finance, circularity, and global market opportunity, not from any one element in isolation.</w:t>
      </w:r>
    </w:p>
    <w:p w14:paraId="2EF0AD9D" w14:textId="77777777" w:rsidR="00E32990" w:rsidRDefault="00000000">
      <w:pPr>
        <w:spacing w:after="0"/>
        <w:ind w:firstLine="567"/>
        <w:jc w:val="both"/>
        <w:rPr>
          <w:rFonts w:ascii="Arial Nova Light" w:hAnsi="Arial Nova Light"/>
          <w:sz w:val="22"/>
          <w:szCs w:val="22"/>
        </w:rPr>
      </w:pPr>
      <w:r>
        <w:rPr>
          <w:rFonts w:ascii="Arial Nova Light" w:hAnsi="Arial Nova Light"/>
          <w:sz w:val="22"/>
          <w:szCs w:val="22"/>
        </w:rPr>
        <w:t>The proposed framework also generates testable propositions for future research. Studies can examine whether risk-sharing finance has a stronger effect on startup resilience when digital traceability is high; whether circular capabilities mediate the relationship between Islamic sustainable finance and market performance; whether halal governance strengthens the effect of sustainability practices on consumer trust; and whether blended social-commercial finance improves survival among early-stage halal firms compared with single-instrument financing. These propositions move the research agenda from normative claims about Islamic finance and sustainability toward measurable mechanisms.</w:t>
      </w:r>
    </w:p>
    <w:p w14:paraId="624135D4" w14:textId="359D5F76" w:rsidR="00A97C24" w:rsidRPr="00F57F77" w:rsidRDefault="00000000" w:rsidP="007052BA">
      <w:pPr>
        <w:pStyle w:val="Heading1"/>
        <w:numPr>
          <w:ilvl w:val="0"/>
          <w:numId w:val="5"/>
        </w:numPr>
        <w:ind w:left="270"/>
        <w:rPr>
          <w:rFonts w:ascii="Arial Nova Light" w:hAnsi="Arial Nova Light"/>
        </w:rPr>
      </w:pPr>
      <w:r>
        <w:rPr>
          <w:rFonts w:ascii="Arial Nova Light" w:hAnsi="Arial Nova Light"/>
        </w:rPr>
        <w:t>Conclusions</w:t>
      </w:r>
    </w:p>
    <w:p w14:paraId="7ABADF07" w14:textId="77777777" w:rsidR="00E32990" w:rsidRDefault="00000000" w:rsidP="008153ED">
      <w:pPr>
        <w:spacing w:after="0"/>
        <w:ind w:firstLine="567"/>
        <w:jc w:val="both"/>
        <w:rPr>
          <w:rFonts w:ascii="Arial Nova Light" w:hAnsi="Arial Nova Light"/>
          <w:sz w:val="22"/>
          <w:szCs w:val="22"/>
        </w:rPr>
      </w:pPr>
      <w:r>
        <w:rPr>
          <w:rFonts w:ascii="Arial Nova Light" w:hAnsi="Arial Nova Light"/>
          <w:sz w:val="22"/>
          <w:szCs w:val="22"/>
        </w:rPr>
        <w:t>This study develops the Islamic Finance–Circularity–Global Readiness (IFCGR) framework to explain how Islamic finance can support the sustainable growth of halal startups. The review of recent literature shows that the strongest opportunity lies not in treating Shariah compliance, sustainability, and startup finance as separate agendas, but in designing financing structures that deliberately build enterprise capabilities. Four financing functions are central: risk-sharing capital, digitally enabled finance, integrated commercial–social finance, and green/impact finance. Their contribution becomes more substantial when they enable eco-design and resource efficiency, circular value recovery, halal integrity and traceability, and digital supply-chain coordination. These capabilities can strengthen financial resilience, consumer trust, scalability, and global market readiness. The framework contributes conceptually by integrating Islamic sustainable finance, halal-business sustainability, circular entrepreneurship, and digital financial innovation into one startup-oriented model. Its main limitation is that it is based on heterogeneous literature rather than primary startup-level data. Future studies should therefore validate the proposed pathways using surveys, longitudinal case studies, or comparative financing-performance data from halal startups in Indonesia and other Muslim-majority markets. For practice, the central implication is clear: sustainable halal startup finance should move beyond collateral-based product delivery toward partnership, traceability, blended funding, and measurable circular impact.</w:t>
      </w:r>
    </w:p>
    <w:p w14:paraId="31F2CE47" w14:textId="77777777" w:rsidR="002276CD" w:rsidRPr="00F57F77" w:rsidRDefault="002276CD" w:rsidP="002276CD">
      <w:pPr>
        <w:pStyle w:val="Heading1"/>
        <w:numPr>
          <w:ilvl w:val="0"/>
          <w:numId w:val="5"/>
        </w:numPr>
        <w:ind w:left="270"/>
        <w:rPr>
          <w:rFonts w:ascii="Arial Nova Light" w:hAnsi="Arial Nova Light"/>
          <w:i/>
          <w:iCs/>
        </w:rPr>
      </w:pPr>
      <w:proofErr w:type="spellStart"/>
      <w:r>
        <w:rPr>
          <w:rFonts w:ascii="Arial Nova Light" w:hAnsi="Arial Nova Light"/>
        </w:rPr>
        <w:lastRenderedPageBreak/>
        <w:t>CRediT</w:t>
      </w:r>
      <w:proofErr w:type="spellEnd"/>
      <w:r>
        <w:rPr>
          <w:rFonts w:ascii="Arial Nova Light" w:hAnsi="Arial Nova Light"/>
        </w:rPr>
        <w:t xml:space="preserve"> Authorship Contribution Statement</w:t>
      </w:r>
    </w:p>
    <w:p w14:paraId="4AE0453F" w14:textId="12C5C4BF" w:rsidR="002276CD" w:rsidRPr="00F57F77" w:rsidRDefault="002276CD" w:rsidP="002276CD">
      <w:pPr>
        <w:spacing w:after="0"/>
        <w:ind w:firstLine="567"/>
        <w:jc w:val="both"/>
        <w:rPr>
          <w:rFonts w:ascii="Arial Nova Light" w:hAnsi="Arial Nova Light"/>
          <w:sz w:val="22"/>
          <w:szCs w:val="22"/>
        </w:rPr>
      </w:pPr>
      <w:r>
        <w:rPr>
          <w:rFonts w:ascii="Arial Nova Light" w:hAnsi="Arial Nova Light"/>
          <w:b/>
          <w:bCs/>
          <w:sz w:val="22"/>
          <w:szCs w:val="22"/>
        </w:rPr>
        <w:t xml:space="preserve">Saiful </w:t>
      </w:r>
      <w:proofErr w:type="spellStart"/>
      <w:r>
        <w:rPr>
          <w:rFonts w:ascii="Arial Nova Light" w:hAnsi="Arial Nova Light"/>
          <w:b/>
          <w:bCs/>
          <w:sz w:val="22"/>
          <w:szCs w:val="22"/>
        </w:rPr>
        <w:t>Bakhri</w:t>
      </w:r>
      <w:proofErr w:type="spellEnd"/>
      <w:r>
        <w:rPr>
          <w:rFonts w:ascii="Arial Nova Light" w:hAnsi="Arial Nova Light"/>
          <w:b/>
          <w:bCs/>
          <w:sz w:val="22"/>
          <w:szCs w:val="22"/>
        </w:rPr>
        <w:t xml:space="preserve"> </w:t>
      </w:r>
      <w:r w:rsidRPr="002276CD">
        <w:rPr>
          <w:rFonts w:ascii="Arial Nova Light" w:hAnsi="Arial Nova Light"/>
          <w:b/>
          <w:bCs/>
          <w:i/>
          <w:iCs/>
          <w:sz w:val="22"/>
          <w:szCs w:val="22"/>
        </w:rPr>
        <w:t>et.al.</w:t>
      </w:r>
      <w:r>
        <w:rPr>
          <w:rFonts w:ascii="Arial Nova Light" w:hAnsi="Arial Nova Light"/>
          <w:b/>
          <w:bCs/>
          <w:sz w:val="22"/>
          <w:szCs w:val="22"/>
        </w:rPr>
        <w:t>:</w:t>
      </w:r>
      <w:r>
        <w:rPr>
          <w:rFonts w:ascii="Arial Nova Light" w:hAnsi="Arial Nova Light"/>
          <w:sz w:val="22"/>
          <w:szCs w:val="22"/>
        </w:rPr>
        <w:t xml:space="preserve"> Conceptualization, Data curation, Formal Analysis, Investigation, Methodology, Resources, Validation, Writing – original draft, and Writing – review &amp; editing.</w:t>
      </w:r>
    </w:p>
    <w:p w14:paraId="18CD585B" w14:textId="77777777" w:rsidR="002276CD" w:rsidRPr="00F57F77" w:rsidRDefault="002276CD" w:rsidP="002276CD">
      <w:pPr>
        <w:pStyle w:val="Heading1"/>
        <w:numPr>
          <w:ilvl w:val="0"/>
          <w:numId w:val="5"/>
        </w:numPr>
        <w:ind w:left="270"/>
        <w:rPr>
          <w:rFonts w:ascii="Arial Nova Light" w:hAnsi="Arial Nova Light"/>
          <w:i/>
          <w:iCs/>
        </w:rPr>
      </w:pPr>
      <w:r>
        <w:rPr>
          <w:rFonts w:ascii="Arial Nova Light" w:hAnsi="Arial Nova Light"/>
        </w:rPr>
        <w:t>Declaration of Competing Interest</w:t>
      </w:r>
    </w:p>
    <w:p w14:paraId="18C36611" w14:textId="77777777" w:rsidR="002276CD" w:rsidRPr="00F57F77" w:rsidRDefault="002276CD" w:rsidP="002276CD">
      <w:pPr>
        <w:spacing w:after="0"/>
        <w:ind w:firstLine="567"/>
        <w:jc w:val="both"/>
        <w:rPr>
          <w:rFonts w:ascii="Arial Nova Light" w:hAnsi="Arial Nova Light"/>
          <w:sz w:val="22"/>
          <w:szCs w:val="22"/>
        </w:rPr>
      </w:pPr>
      <w:r>
        <w:rPr>
          <w:rFonts w:ascii="Arial Nova Light" w:hAnsi="Arial Nova Light"/>
          <w:sz w:val="22"/>
          <w:szCs w:val="22"/>
        </w:rPr>
        <w:t>The authors declare that they have no known competing financial interests or personal relationships that could have appeared to influence the work reported in this paper.</w:t>
      </w:r>
    </w:p>
    <w:p w14:paraId="1B2F46D6" w14:textId="77777777" w:rsidR="002276CD" w:rsidRPr="00F57F77" w:rsidRDefault="002276CD" w:rsidP="002276CD">
      <w:pPr>
        <w:pStyle w:val="Heading1"/>
        <w:numPr>
          <w:ilvl w:val="0"/>
          <w:numId w:val="5"/>
        </w:numPr>
        <w:ind w:left="270"/>
        <w:rPr>
          <w:rFonts w:ascii="Arial Nova Light" w:hAnsi="Arial Nova Light"/>
        </w:rPr>
      </w:pPr>
      <w:r>
        <w:rPr>
          <w:rFonts w:ascii="Arial Nova Light" w:hAnsi="Arial Nova Light"/>
        </w:rPr>
        <w:t>Acknowledgments</w:t>
      </w:r>
    </w:p>
    <w:p w14:paraId="7FBD3D1B" w14:textId="77777777" w:rsidR="002276CD" w:rsidRPr="00F57F77" w:rsidRDefault="002276CD" w:rsidP="002276CD">
      <w:pPr>
        <w:spacing w:after="0"/>
        <w:ind w:firstLine="567"/>
        <w:jc w:val="both"/>
        <w:rPr>
          <w:rFonts w:ascii="Arial Nova Light" w:hAnsi="Arial Nova Light"/>
          <w:sz w:val="22"/>
          <w:szCs w:val="22"/>
        </w:rPr>
      </w:pPr>
      <w:r>
        <w:rPr>
          <w:rFonts w:ascii="Arial Nova Light" w:hAnsi="Arial Nova Light"/>
          <w:sz w:val="22"/>
          <w:szCs w:val="22"/>
        </w:rPr>
        <w:t>Not applicable. No individuals other than the author contributed to this work in a manner that would qualify for co-authorship or require acknowledgment.</w:t>
      </w:r>
    </w:p>
    <w:p w14:paraId="19DE2BF2" w14:textId="77777777" w:rsidR="002276CD" w:rsidRPr="00F57F77" w:rsidRDefault="002276CD" w:rsidP="002276CD">
      <w:pPr>
        <w:pStyle w:val="Heading1"/>
        <w:numPr>
          <w:ilvl w:val="0"/>
          <w:numId w:val="5"/>
        </w:numPr>
        <w:ind w:left="426" w:hanging="426"/>
        <w:rPr>
          <w:rFonts w:ascii="Arial Nova Light" w:hAnsi="Arial Nova Light"/>
        </w:rPr>
      </w:pPr>
      <w:r>
        <w:rPr>
          <w:rFonts w:ascii="Arial Nova Light" w:hAnsi="Arial Nova Light"/>
        </w:rPr>
        <w:t>Funding</w:t>
      </w:r>
    </w:p>
    <w:p w14:paraId="7B48B58F" w14:textId="77777777" w:rsidR="002276CD" w:rsidRPr="00F57F77" w:rsidRDefault="002276CD" w:rsidP="002276CD">
      <w:pPr>
        <w:spacing w:after="0"/>
        <w:ind w:firstLine="567"/>
        <w:jc w:val="both"/>
        <w:rPr>
          <w:rFonts w:ascii="Arial Nova Light" w:hAnsi="Arial Nova Light"/>
          <w:sz w:val="22"/>
          <w:szCs w:val="22"/>
        </w:rPr>
      </w:pPr>
      <w:r>
        <w:rPr>
          <w:rFonts w:ascii="Arial Nova Light" w:hAnsi="Arial Nova Light"/>
          <w:sz w:val="22"/>
          <w:szCs w:val="22"/>
        </w:rPr>
        <w:t>This research received no external funding from any funding agency in the public, commercial, or not-for-profit sectors.</w:t>
      </w:r>
    </w:p>
    <w:p w14:paraId="2F6A1634" w14:textId="77777777" w:rsidR="002276CD" w:rsidRPr="00F57F77" w:rsidRDefault="002276CD" w:rsidP="002276CD">
      <w:pPr>
        <w:pStyle w:val="Heading1"/>
        <w:numPr>
          <w:ilvl w:val="0"/>
          <w:numId w:val="5"/>
        </w:numPr>
        <w:ind w:left="270"/>
        <w:rPr>
          <w:rFonts w:ascii="Arial Nova Light" w:hAnsi="Arial Nova Light"/>
        </w:rPr>
      </w:pPr>
      <w:r>
        <w:rPr>
          <w:rFonts w:ascii="Arial Nova Light" w:hAnsi="Arial Nova Light"/>
        </w:rPr>
        <w:t>Ethical Approval</w:t>
      </w:r>
    </w:p>
    <w:p w14:paraId="13E2880F" w14:textId="77777777" w:rsidR="002276CD" w:rsidRPr="00F57F77" w:rsidRDefault="002276CD" w:rsidP="002276CD">
      <w:pPr>
        <w:spacing w:after="0"/>
        <w:ind w:firstLine="567"/>
        <w:jc w:val="both"/>
        <w:rPr>
          <w:rFonts w:ascii="Arial Nova Light" w:hAnsi="Arial Nova Light"/>
          <w:sz w:val="22"/>
          <w:szCs w:val="22"/>
        </w:rPr>
      </w:pPr>
      <w:r>
        <w:rPr>
          <w:rFonts w:ascii="Arial Nova Light" w:hAnsi="Arial Nova Light"/>
          <w:sz w:val="22"/>
          <w:szCs w:val="22"/>
        </w:rPr>
        <w:t>This study is a literature-based conceptual review. It did not involve human participants, animal subjects, or identifiable personal data, and therefore did not require ethical approval.</w:t>
      </w:r>
    </w:p>
    <w:p w14:paraId="2DEE81B5" w14:textId="77777777" w:rsidR="002276CD" w:rsidRDefault="002276CD" w:rsidP="008153ED">
      <w:pPr>
        <w:spacing w:after="0"/>
        <w:ind w:firstLine="567"/>
        <w:jc w:val="both"/>
        <w:rPr>
          <w:rFonts w:ascii="Arial Nova Light" w:hAnsi="Arial Nova Light"/>
          <w:sz w:val="22"/>
          <w:szCs w:val="22"/>
        </w:rPr>
      </w:pPr>
    </w:p>
    <w:p w14:paraId="6E0B07A7" w14:textId="77777777" w:rsidR="00A97C24" w:rsidRPr="00F57F77" w:rsidRDefault="00000000" w:rsidP="007052BA">
      <w:pPr>
        <w:pStyle w:val="Heading1"/>
        <w:numPr>
          <w:ilvl w:val="0"/>
          <w:numId w:val="5"/>
        </w:numPr>
        <w:ind w:left="270"/>
        <w:rPr>
          <w:rFonts w:ascii="Arial Nova Light" w:hAnsi="Arial Nova Light"/>
        </w:rPr>
      </w:pPr>
      <w:r>
        <w:rPr>
          <w:rFonts w:ascii="Arial Nova Light" w:hAnsi="Arial Nova Light"/>
        </w:rPr>
        <w:t>References</w:t>
      </w:r>
    </w:p>
    <w:p w14:paraId="0845E710" w14:textId="77777777" w:rsidR="008153ED" w:rsidRPr="008153ED" w:rsidRDefault="008153ED" w:rsidP="008153ED">
      <w:pPr>
        <w:spacing w:after="120"/>
        <w:ind w:left="360" w:hanging="446"/>
        <w:jc w:val="both"/>
        <w:rPr>
          <w:rFonts w:ascii="Arial Nova Light" w:hAnsi="Arial Nova Light"/>
          <w:sz w:val="22"/>
          <w:szCs w:val="22"/>
        </w:rPr>
      </w:pPr>
      <w:r w:rsidRPr="008153ED">
        <w:rPr>
          <w:rFonts w:ascii="Arial Nova Light" w:hAnsi="Arial Nova Light"/>
          <w:sz w:val="22"/>
          <w:szCs w:val="22"/>
        </w:rPr>
        <w:t xml:space="preserve">Ammar, R., </w:t>
      </w:r>
      <w:proofErr w:type="spellStart"/>
      <w:r w:rsidRPr="008153ED">
        <w:rPr>
          <w:rFonts w:ascii="Arial Nova Light" w:hAnsi="Arial Nova Light"/>
          <w:sz w:val="22"/>
          <w:szCs w:val="22"/>
        </w:rPr>
        <w:t>Rebai</w:t>
      </w:r>
      <w:proofErr w:type="spellEnd"/>
      <w:r w:rsidRPr="008153ED">
        <w:rPr>
          <w:rFonts w:ascii="Arial Nova Light" w:hAnsi="Arial Nova Light"/>
          <w:sz w:val="22"/>
          <w:szCs w:val="22"/>
        </w:rPr>
        <w:t xml:space="preserve">, S., &amp; </w:t>
      </w:r>
      <w:proofErr w:type="spellStart"/>
      <w:r w:rsidRPr="008153ED">
        <w:rPr>
          <w:rFonts w:ascii="Arial Nova Light" w:hAnsi="Arial Nova Light"/>
          <w:sz w:val="22"/>
          <w:szCs w:val="22"/>
        </w:rPr>
        <w:t>Saidane</w:t>
      </w:r>
      <w:proofErr w:type="spellEnd"/>
      <w:r w:rsidRPr="008153ED">
        <w:rPr>
          <w:rFonts w:ascii="Arial Nova Light" w:hAnsi="Arial Nova Light"/>
          <w:sz w:val="22"/>
          <w:szCs w:val="22"/>
        </w:rPr>
        <w:t xml:space="preserve">, D. (2023). Toward the development of an Islamic banking sustainability performance index. </w:t>
      </w:r>
      <w:r w:rsidRPr="008153ED">
        <w:rPr>
          <w:rFonts w:ascii="Arial Nova Light" w:hAnsi="Arial Nova Light"/>
          <w:i/>
          <w:sz w:val="22"/>
          <w:szCs w:val="22"/>
        </w:rPr>
        <w:t>International Journal of Islamic and Middle Eastern Finance and Management, 16</w:t>
      </w:r>
      <w:r w:rsidRPr="008153ED">
        <w:rPr>
          <w:rFonts w:ascii="Arial Nova Light" w:hAnsi="Arial Nova Light"/>
          <w:sz w:val="22"/>
          <w:szCs w:val="22"/>
        </w:rPr>
        <w:t>(4), 734–755. https://doi.org/10.1108/IMEFM-12-2021-0479</w:t>
      </w:r>
    </w:p>
    <w:p w14:paraId="7CBE0436" w14:textId="77777777" w:rsidR="008153ED" w:rsidRPr="008153ED" w:rsidRDefault="008153ED" w:rsidP="008153ED">
      <w:pPr>
        <w:spacing w:after="120"/>
        <w:ind w:left="360" w:hanging="446"/>
        <w:jc w:val="both"/>
        <w:rPr>
          <w:rFonts w:ascii="Arial Nova Light" w:hAnsi="Arial Nova Light"/>
          <w:sz w:val="22"/>
          <w:szCs w:val="22"/>
        </w:rPr>
      </w:pPr>
      <w:proofErr w:type="spellStart"/>
      <w:r w:rsidRPr="008153ED">
        <w:rPr>
          <w:rFonts w:ascii="Arial Nova Light" w:hAnsi="Arial Nova Light"/>
          <w:sz w:val="22"/>
          <w:szCs w:val="22"/>
        </w:rPr>
        <w:t>Ascarya</w:t>
      </w:r>
      <w:proofErr w:type="spellEnd"/>
      <w:r w:rsidRPr="008153ED">
        <w:rPr>
          <w:rFonts w:ascii="Arial Nova Light" w:hAnsi="Arial Nova Light"/>
          <w:sz w:val="22"/>
          <w:szCs w:val="22"/>
        </w:rPr>
        <w:t xml:space="preserve">, A., Suharto, U., &amp; </w:t>
      </w:r>
      <w:proofErr w:type="spellStart"/>
      <w:r w:rsidRPr="008153ED">
        <w:rPr>
          <w:rFonts w:ascii="Arial Nova Light" w:hAnsi="Arial Nova Light"/>
          <w:sz w:val="22"/>
          <w:szCs w:val="22"/>
        </w:rPr>
        <w:t>Husman</w:t>
      </w:r>
      <w:proofErr w:type="spellEnd"/>
      <w:r w:rsidRPr="008153ED">
        <w:rPr>
          <w:rFonts w:ascii="Arial Nova Light" w:hAnsi="Arial Nova Light"/>
          <w:sz w:val="22"/>
          <w:szCs w:val="22"/>
        </w:rPr>
        <w:t xml:space="preserve">, J. A. (2022). Proposed model of integrated Islamic commercial and social finance for Islamic bank in Indonesia. </w:t>
      </w:r>
      <w:r w:rsidRPr="008153ED">
        <w:rPr>
          <w:rFonts w:ascii="Arial Nova Light" w:hAnsi="Arial Nova Light"/>
          <w:i/>
          <w:sz w:val="22"/>
          <w:szCs w:val="22"/>
        </w:rPr>
        <w:t>Eurasian Economic Review, 12</w:t>
      </w:r>
      <w:r w:rsidRPr="008153ED">
        <w:rPr>
          <w:rFonts w:ascii="Arial Nova Light" w:hAnsi="Arial Nova Light"/>
          <w:sz w:val="22"/>
          <w:szCs w:val="22"/>
        </w:rPr>
        <w:t>(1), 115–138. https://doi.org/10.1007/s40822-022-00201-z</w:t>
      </w:r>
    </w:p>
    <w:p w14:paraId="20B47CB0" w14:textId="77777777" w:rsidR="008153ED" w:rsidRPr="008153ED" w:rsidRDefault="008153ED" w:rsidP="008153ED">
      <w:pPr>
        <w:spacing w:after="120"/>
        <w:ind w:left="360" w:hanging="446"/>
        <w:jc w:val="both"/>
        <w:rPr>
          <w:rFonts w:ascii="Arial Nova Light" w:hAnsi="Arial Nova Light"/>
          <w:sz w:val="22"/>
          <w:szCs w:val="22"/>
        </w:rPr>
      </w:pPr>
      <w:proofErr w:type="spellStart"/>
      <w:r w:rsidRPr="008153ED">
        <w:rPr>
          <w:rFonts w:ascii="Arial Nova Light" w:hAnsi="Arial Nova Light"/>
          <w:sz w:val="22"/>
          <w:szCs w:val="22"/>
        </w:rPr>
        <w:t>Ascarya</w:t>
      </w:r>
      <w:proofErr w:type="spellEnd"/>
      <w:r w:rsidRPr="008153ED">
        <w:rPr>
          <w:rFonts w:ascii="Arial Nova Light" w:hAnsi="Arial Nova Light"/>
          <w:sz w:val="22"/>
          <w:szCs w:val="22"/>
        </w:rPr>
        <w:t xml:space="preserve">, A., </w:t>
      </w:r>
      <w:proofErr w:type="spellStart"/>
      <w:r w:rsidRPr="008153ED">
        <w:rPr>
          <w:rFonts w:ascii="Arial Nova Light" w:hAnsi="Arial Nova Light"/>
          <w:sz w:val="22"/>
          <w:szCs w:val="22"/>
        </w:rPr>
        <w:t>Sukmana</w:t>
      </w:r>
      <w:proofErr w:type="spellEnd"/>
      <w:r w:rsidRPr="008153ED">
        <w:rPr>
          <w:rFonts w:ascii="Arial Nova Light" w:hAnsi="Arial Nova Light"/>
          <w:sz w:val="22"/>
          <w:szCs w:val="22"/>
        </w:rPr>
        <w:t xml:space="preserve">, R., </w:t>
      </w:r>
      <w:proofErr w:type="spellStart"/>
      <w:r w:rsidRPr="008153ED">
        <w:rPr>
          <w:rFonts w:ascii="Arial Nova Light" w:hAnsi="Arial Nova Light"/>
          <w:sz w:val="22"/>
          <w:szCs w:val="22"/>
        </w:rPr>
        <w:t>Rahmawati</w:t>
      </w:r>
      <w:proofErr w:type="spellEnd"/>
      <w:r w:rsidRPr="008153ED">
        <w:rPr>
          <w:rFonts w:ascii="Arial Nova Light" w:hAnsi="Arial Nova Light"/>
          <w:sz w:val="22"/>
          <w:szCs w:val="22"/>
        </w:rPr>
        <w:t xml:space="preserve">, S., &amp; </w:t>
      </w:r>
      <w:proofErr w:type="spellStart"/>
      <w:r w:rsidRPr="008153ED">
        <w:rPr>
          <w:rFonts w:ascii="Arial Nova Light" w:hAnsi="Arial Nova Light"/>
          <w:sz w:val="22"/>
          <w:szCs w:val="22"/>
        </w:rPr>
        <w:t>Masrifah</w:t>
      </w:r>
      <w:proofErr w:type="spellEnd"/>
      <w:r w:rsidRPr="008153ED">
        <w:rPr>
          <w:rFonts w:ascii="Arial Nova Light" w:hAnsi="Arial Nova Light"/>
          <w:sz w:val="22"/>
          <w:szCs w:val="22"/>
        </w:rPr>
        <w:t xml:space="preserve">, A. R. (2023). Developing cash waqf models for Baitul Maal wat </w:t>
      </w:r>
      <w:proofErr w:type="spellStart"/>
      <w:r w:rsidRPr="008153ED">
        <w:rPr>
          <w:rFonts w:ascii="Arial Nova Light" w:hAnsi="Arial Nova Light"/>
          <w:sz w:val="22"/>
          <w:szCs w:val="22"/>
        </w:rPr>
        <w:t>Tamwil</w:t>
      </w:r>
      <w:proofErr w:type="spellEnd"/>
      <w:r w:rsidRPr="008153ED">
        <w:rPr>
          <w:rFonts w:ascii="Arial Nova Light" w:hAnsi="Arial Nova Light"/>
          <w:sz w:val="22"/>
          <w:szCs w:val="22"/>
        </w:rPr>
        <w:t xml:space="preserve"> as integrated Islamic social and commercial microfinance. </w:t>
      </w:r>
      <w:r w:rsidRPr="008153ED">
        <w:rPr>
          <w:rFonts w:ascii="Arial Nova Light" w:hAnsi="Arial Nova Light"/>
          <w:i/>
          <w:sz w:val="22"/>
          <w:szCs w:val="22"/>
        </w:rPr>
        <w:t>Journal of Islamic Accounting and Business Research, 14</w:t>
      </w:r>
      <w:r w:rsidRPr="008153ED">
        <w:rPr>
          <w:rFonts w:ascii="Arial Nova Light" w:hAnsi="Arial Nova Light"/>
          <w:sz w:val="22"/>
          <w:szCs w:val="22"/>
        </w:rPr>
        <w:t>(5), 699–717. https://doi.org/10.1108/JIABR-09-2020-0267</w:t>
      </w:r>
    </w:p>
    <w:p w14:paraId="47202329" w14:textId="77777777" w:rsidR="008153ED" w:rsidRPr="008153ED" w:rsidRDefault="008153ED" w:rsidP="008153ED">
      <w:pPr>
        <w:spacing w:after="120"/>
        <w:ind w:left="360" w:hanging="446"/>
        <w:jc w:val="both"/>
        <w:rPr>
          <w:rFonts w:ascii="Arial Nova Light" w:hAnsi="Arial Nova Light"/>
          <w:sz w:val="22"/>
          <w:szCs w:val="22"/>
        </w:rPr>
      </w:pPr>
      <w:r w:rsidRPr="008153ED">
        <w:rPr>
          <w:rFonts w:ascii="Arial Nova Light" w:hAnsi="Arial Nova Light"/>
          <w:sz w:val="22"/>
          <w:szCs w:val="22"/>
        </w:rPr>
        <w:t xml:space="preserve">Aziz, S., Md Husin, M., Talib, J., &amp; </w:t>
      </w:r>
      <w:proofErr w:type="spellStart"/>
      <w:r w:rsidRPr="008153ED">
        <w:rPr>
          <w:rFonts w:ascii="Arial Nova Light" w:hAnsi="Arial Nova Light"/>
          <w:sz w:val="22"/>
          <w:szCs w:val="22"/>
        </w:rPr>
        <w:t>Gazali</w:t>
      </w:r>
      <w:proofErr w:type="spellEnd"/>
      <w:r w:rsidRPr="008153ED">
        <w:rPr>
          <w:rFonts w:ascii="Arial Nova Light" w:hAnsi="Arial Nova Light"/>
          <w:sz w:val="22"/>
          <w:szCs w:val="22"/>
        </w:rPr>
        <w:t xml:space="preserve">, S. (2026). Islamic sustainable finance: A systematic bibliometric review (1997–2025). </w:t>
      </w:r>
      <w:r w:rsidRPr="008153ED">
        <w:rPr>
          <w:rFonts w:ascii="Arial Nova Light" w:hAnsi="Arial Nova Light"/>
          <w:i/>
          <w:sz w:val="22"/>
          <w:szCs w:val="22"/>
        </w:rPr>
        <w:t>Sustainable Finance Review, 1</w:t>
      </w:r>
      <w:r w:rsidRPr="008153ED">
        <w:rPr>
          <w:rFonts w:ascii="Arial Nova Light" w:hAnsi="Arial Nova Light"/>
          <w:sz w:val="22"/>
          <w:szCs w:val="22"/>
        </w:rPr>
        <w:t>(2), 149–173. https://doi.org/10.1108/SFR-04-2025-0003</w:t>
      </w:r>
    </w:p>
    <w:p w14:paraId="36F1B0B7" w14:textId="77777777" w:rsidR="008153ED" w:rsidRPr="008153ED" w:rsidRDefault="008153ED" w:rsidP="008153ED">
      <w:pPr>
        <w:spacing w:after="120"/>
        <w:ind w:left="360" w:hanging="446"/>
        <w:jc w:val="both"/>
        <w:rPr>
          <w:rFonts w:ascii="Arial Nova Light" w:hAnsi="Arial Nova Light"/>
          <w:sz w:val="22"/>
          <w:szCs w:val="22"/>
        </w:rPr>
      </w:pPr>
      <w:r w:rsidRPr="008153ED">
        <w:rPr>
          <w:rFonts w:ascii="Arial Nova Light" w:hAnsi="Arial Nova Light"/>
          <w:sz w:val="22"/>
          <w:szCs w:val="22"/>
        </w:rPr>
        <w:t xml:space="preserve">Dey, P. K., </w:t>
      </w:r>
      <w:proofErr w:type="spellStart"/>
      <w:r w:rsidRPr="008153ED">
        <w:rPr>
          <w:rFonts w:ascii="Arial Nova Light" w:hAnsi="Arial Nova Light"/>
          <w:sz w:val="22"/>
          <w:szCs w:val="22"/>
        </w:rPr>
        <w:t>Malesios</w:t>
      </w:r>
      <w:proofErr w:type="spellEnd"/>
      <w:r w:rsidRPr="008153ED">
        <w:rPr>
          <w:rFonts w:ascii="Arial Nova Light" w:hAnsi="Arial Nova Light"/>
          <w:sz w:val="22"/>
          <w:szCs w:val="22"/>
        </w:rPr>
        <w:t xml:space="preserve">, C., Chowdhury, S., Saha, K., </w:t>
      </w:r>
      <w:proofErr w:type="spellStart"/>
      <w:r w:rsidRPr="008153ED">
        <w:rPr>
          <w:rFonts w:ascii="Arial Nova Light" w:hAnsi="Arial Nova Light"/>
          <w:sz w:val="22"/>
          <w:szCs w:val="22"/>
        </w:rPr>
        <w:t>Budhwar</w:t>
      </w:r>
      <w:proofErr w:type="spellEnd"/>
      <w:r w:rsidRPr="008153ED">
        <w:rPr>
          <w:rFonts w:ascii="Arial Nova Light" w:hAnsi="Arial Nova Light"/>
          <w:sz w:val="22"/>
          <w:szCs w:val="22"/>
        </w:rPr>
        <w:t xml:space="preserve">, P., &amp; De, D. (2022). Adoption of circular economy practices in small and medium-sized enterprises: Evidence from Europe. </w:t>
      </w:r>
      <w:r w:rsidRPr="008153ED">
        <w:rPr>
          <w:rFonts w:ascii="Arial Nova Light" w:hAnsi="Arial Nova Light"/>
          <w:i/>
          <w:sz w:val="22"/>
          <w:szCs w:val="22"/>
        </w:rPr>
        <w:t>International Journal of Production Economics, 248</w:t>
      </w:r>
      <w:r w:rsidRPr="008153ED">
        <w:rPr>
          <w:rFonts w:ascii="Arial Nova Light" w:hAnsi="Arial Nova Light"/>
          <w:sz w:val="22"/>
          <w:szCs w:val="22"/>
        </w:rPr>
        <w:t>, 108496. https://doi.org/10.1016/j.ijpe.2022.108496</w:t>
      </w:r>
    </w:p>
    <w:p w14:paraId="711527A2" w14:textId="77777777" w:rsidR="008153ED" w:rsidRPr="008153ED" w:rsidRDefault="008153ED" w:rsidP="008153ED">
      <w:pPr>
        <w:spacing w:after="120"/>
        <w:ind w:left="360" w:hanging="446"/>
        <w:jc w:val="both"/>
        <w:rPr>
          <w:rFonts w:ascii="Arial Nova Light" w:hAnsi="Arial Nova Light"/>
          <w:sz w:val="22"/>
          <w:szCs w:val="22"/>
        </w:rPr>
      </w:pPr>
      <w:proofErr w:type="spellStart"/>
      <w:r w:rsidRPr="008153ED">
        <w:rPr>
          <w:rFonts w:ascii="Arial Nova Light" w:hAnsi="Arial Nova Light"/>
          <w:sz w:val="22"/>
          <w:szCs w:val="22"/>
        </w:rPr>
        <w:t>Hunjra</w:t>
      </w:r>
      <w:proofErr w:type="spellEnd"/>
      <w:r w:rsidRPr="008153ED">
        <w:rPr>
          <w:rFonts w:ascii="Arial Nova Light" w:hAnsi="Arial Nova Light"/>
          <w:sz w:val="22"/>
          <w:szCs w:val="22"/>
        </w:rPr>
        <w:t xml:space="preserve">, A. I., Hassan, M. K., Ben </w:t>
      </w:r>
      <w:proofErr w:type="spellStart"/>
      <w:r w:rsidRPr="008153ED">
        <w:rPr>
          <w:rFonts w:ascii="Arial Nova Light" w:hAnsi="Arial Nova Light"/>
          <w:sz w:val="22"/>
          <w:szCs w:val="22"/>
        </w:rPr>
        <w:t>Zaied</w:t>
      </w:r>
      <w:proofErr w:type="spellEnd"/>
      <w:r w:rsidRPr="008153ED">
        <w:rPr>
          <w:rFonts w:ascii="Arial Nova Light" w:hAnsi="Arial Nova Light"/>
          <w:sz w:val="22"/>
          <w:szCs w:val="22"/>
        </w:rPr>
        <w:t xml:space="preserve">, Y., &amp; </w:t>
      </w:r>
      <w:proofErr w:type="spellStart"/>
      <w:r w:rsidRPr="008153ED">
        <w:rPr>
          <w:rFonts w:ascii="Arial Nova Light" w:hAnsi="Arial Nova Light"/>
          <w:sz w:val="22"/>
          <w:szCs w:val="22"/>
        </w:rPr>
        <w:t>Managi</w:t>
      </w:r>
      <w:proofErr w:type="spellEnd"/>
      <w:r w:rsidRPr="008153ED">
        <w:rPr>
          <w:rFonts w:ascii="Arial Nova Light" w:hAnsi="Arial Nova Light"/>
          <w:sz w:val="22"/>
          <w:szCs w:val="22"/>
        </w:rPr>
        <w:t xml:space="preserve">, S. (2023). Nexus between green finance, environmental degradation, and sustainable development: Evidence from developing countries. </w:t>
      </w:r>
      <w:r w:rsidRPr="008153ED">
        <w:rPr>
          <w:rFonts w:ascii="Arial Nova Light" w:hAnsi="Arial Nova Light"/>
          <w:i/>
          <w:sz w:val="22"/>
          <w:szCs w:val="22"/>
        </w:rPr>
        <w:t>Resources Policy, 81</w:t>
      </w:r>
      <w:r w:rsidRPr="008153ED">
        <w:rPr>
          <w:rFonts w:ascii="Arial Nova Light" w:hAnsi="Arial Nova Light"/>
          <w:sz w:val="22"/>
          <w:szCs w:val="22"/>
        </w:rPr>
        <w:t>, 103371. https://doi.org/10.1016/j.resourpol.2023.103371</w:t>
      </w:r>
    </w:p>
    <w:p w14:paraId="539E52CF" w14:textId="77777777" w:rsidR="008153ED" w:rsidRPr="008153ED" w:rsidRDefault="008153ED" w:rsidP="008153ED">
      <w:pPr>
        <w:spacing w:after="120"/>
        <w:ind w:left="360" w:hanging="446"/>
        <w:jc w:val="both"/>
        <w:rPr>
          <w:rFonts w:ascii="Arial Nova Light" w:hAnsi="Arial Nova Light"/>
          <w:sz w:val="22"/>
          <w:szCs w:val="22"/>
        </w:rPr>
      </w:pPr>
      <w:proofErr w:type="spellStart"/>
      <w:r w:rsidRPr="008153ED">
        <w:rPr>
          <w:rFonts w:ascii="Arial Nova Light" w:hAnsi="Arial Nova Light"/>
          <w:sz w:val="22"/>
          <w:szCs w:val="22"/>
        </w:rPr>
        <w:t>Jaiyeoba</w:t>
      </w:r>
      <w:proofErr w:type="spellEnd"/>
      <w:r w:rsidRPr="008153ED">
        <w:rPr>
          <w:rFonts w:ascii="Arial Nova Light" w:hAnsi="Arial Nova Light"/>
          <w:sz w:val="22"/>
          <w:szCs w:val="22"/>
        </w:rPr>
        <w:t xml:space="preserve">, H. B., Abdullah, M. A., &amp; Khalid, A. A. (2025a). The influence of integrated sustainability practices on the sustainability of halal businesses. </w:t>
      </w:r>
      <w:r w:rsidRPr="008153ED">
        <w:rPr>
          <w:rFonts w:ascii="Arial Nova Light" w:hAnsi="Arial Nova Light"/>
          <w:i/>
          <w:sz w:val="22"/>
          <w:szCs w:val="22"/>
        </w:rPr>
        <w:t>Journal of Islamic Marketing, 16</w:t>
      </w:r>
      <w:r w:rsidRPr="008153ED">
        <w:rPr>
          <w:rFonts w:ascii="Arial Nova Light" w:hAnsi="Arial Nova Light"/>
          <w:sz w:val="22"/>
          <w:szCs w:val="22"/>
        </w:rPr>
        <w:t>(11), 3320–3345. https://doi.org/10.1108/JIMA-06-2023-0172</w:t>
      </w:r>
    </w:p>
    <w:p w14:paraId="7BDBAAD5" w14:textId="77777777" w:rsidR="008153ED" w:rsidRPr="008153ED" w:rsidRDefault="008153ED" w:rsidP="008153ED">
      <w:pPr>
        <w:spacing w:after="120"/>
        <w:ind w:left="360" w:hanging="446"/>
        <w:jc w:val="both"/>
        <w:rPr>
          <w:rFonts w:ascii="Arial Nova Light" w:hAnsi="Arial Nova Light"/>
          <w:sz w:val="22"/>
          <w:szCs w:val="22"/>
        </w:rPr>
      </w:pPr>
      <w:proofErr w:type="spellStart"/>
      <w:r w:rsidRPr="008153ED">
        <w:rPr>
          <w:rFonts w:ascii="Arial Nova Light" w:hAnsi="Arial Nova Light"/>
          <w:sz w:val="22"/>
          <w:szCs w:val="22"/>
        </w:rPr>
        <w:lastRenderedPageBreak/>
        <w:t>Jaiyeoba</w:t>
      </w:r>
      <w:proofErr w:type="spellEnd"/>
      <w:r w:rsidRPr="008153ED">
        <w:rPr>
          <w:rFonts w:ascii="Arial Nova Light" w:hAnsi="Arial Nova Light"/>
          <w:sz w:val="22"/>
          <w:szCs w:val="22"/>
        </w:rPr>
        <w:t xml:space="preserve">, H. B., Salleh, H. M., </w:t>
      </w:r>
      <w:proofErr w:type="spellStart"/>
      <w:r w:rsidRPr="008153ED">
        <w:rPr>
          <w:rFonts w:ascii="Arial Nova Light" w:hAnsi="Arial Nova Light"/>
          <w:sz w:val="22"/>
          <w:szCs w:val="22"/>
        </w:rPr>
        <w:t>Embi</w:t>
      </w:r>
      <w:proofErr w:type="spellEnd"/>
      <w:r w:rsidRPr="008153ED">
        <w:rPr>
          <w:rFonts w:ascii="Arial Nova Light" w:hAnsi="Arial Nova Light"/>
          <w:sz w:val="22"/>
          <w:szCs w:val="22"/>
        </w:rPr>
        <w:t xml:space="preserve">, N. A. C., &amp; Bahari, S. S. (2025b). The influence of internet-based financial innovations on the supply chain performance of halal SMEs. </w:t>
      </w:r>
      <w:r w:rsidRPr="008153ED">
        <w:rPr>
          <w:rFonts w:ascii="Arial Nova Light" w:hAnsi="Arial Nova Light"/>
          <w:i/>
          <w:sz w:val="22"/>
          <w:szCs w:val="22"/>
        </w:rPr>
        <w:t>Journal of Financial Services Marketing, 30</w:t>
      </w:r>
      <w:r w:rsidRPr="008153ED">
        <w:rPr>
          <w:rFonts w:ascii="Arial Nova Light" w:hAnsi="Arial Nova Light"/>
          <w:sz w:val="22"/>
          <w:szCs w:val="22"/>
        </w:rPr>
        <w:t>(3), 1–18. https://doi.org/10.1057/s41264-025-00313-y</w:t>
      </w:r>
    </w:p>
    <w:p w14:paraId="3535B334" w14:textId="77777777" w:rsidR="008153ED" w:rsidRPr="008153ED" w:rsidRDefault="008153ED" w:rsidP="008153ED">
      <w:pPr>
        <w:spacing w:after="120"/>
        <w:ind w:left="360" w:hanging="446"/>
        <w:jc w:val="both"/>
        <w:rPr>
          <w:rFonts w:ascii="Arial Nova Light" w:hAnsi="Arial Nova Light"/>
          <w:sz w:val="22"/>
          <w:szCs w:val="22"/>
        </w:rPr>
      </w:pPr>
      <w:r w:rsidRPr="008153ED">
        <w:rPr>
          <w:rFonts w:ascii="Arial Nova Light" w:hAnsi="Arial Nova Light"/>
          <w:sz w:val="22"/>
          <w:szCs w:val="22"/>
        </w:rPr>
        <w:t>Jan, A., Rahman, H. U., Zahid, M., Salameh, A. A., Khan, P. A., Al-</w:t>
      </w:r>
      <w:proofErr w:type="spellStart"/>
      <w:r w:rsidRPr="008153ED">
        <w:rPr>
          <w:rFonts w:ascii="Arial Nova Light" w:hAnsi="Arial Nova Light"/>
          <w:sz w:val="22"/>
          <w:szCs w:val="22"/>
        </w:rPr>
        <w:t>Faryan</w:t>
      </w:r>
      <w:proofErr w:type="spellEnd"/>
      <w:r w:rsidRPr="008153ED">
        <w:rPr>
          <w:rFonts w:ascii="Arial Nova Light" w:hAnsi="Arial Nova Light"/>
          <w:sz w:val="22"/>
          <w:szCs w:val="22"/>
        </w:rPr>
        <w:t xml:space="preserve">, M. A. S., Che Aziz, R. B., &amp; Ali, H. E. (2023). Islamic corporate sustainability practices index aligned with SDGs towards better financial performance: Evidence from the Malaysian and Indonesian Islamic banking industry. </w:t>
      </w:r>
      <w:r w:rsidRPr="008153ED">
        <w:rPr>
          <w:rFonts w:ascii="Arial Nova Light" w:hAnsi="Arial Nova Light"/>
          <w:i/>
          <w:sz w:val="22"/>
          <w:szCs w:val="22"/>
        </w:rPr>
        <w:t>Journal of Cleaner Production, 405</w:t>
      </w:r>
      <w:r w:rsidRPr="008153ED">
        <w:rPr>
          <w:rFonts w:ascii="Arial Nova Light" w:hAnsi="Arial Nova Light"/>
          <w:sz w:val="22"/>
          <w:szCs w:val="22"/>
        </w:rPr>
        <w:t>, 136860. https://doi.org/10.1016/j.jclepro.2023.136860</w:t>
      </w:r>
    </w:p>
    <w:p w14:paraId="68289540" w14:textId="77777777" w:rsidR="008153ED" w:rsidRPr="008153ED" w:rsidRDefault="008153ED" w:rsidP="008153ED">
      <w:pPr>
        <w:spacing w:after="120"/>
        <w:ind w:left="360" w:hanging="446"/>
        <w:jc w:val="both"/>
        <w:rPr>
          <w:rFonts w:ascii="Arial Nova Light" w:hAnsi="Arial Nova Light"/>
          <w:sz w:val="22"/>
          <w:szCs w:val="22"/>
        </w:rPr>
      </w:pPr>
      <w:r w:rsidRPr="008153ED">
        <w:rPr>
          <w:rFonts w:ascii="Arial Nova Light" w:hAnsi="Arial Nova Light"/>
          <w:sz w:val="22"/>
          <w:szCs w:val="22"/>
        </w:rPr>
        <w:t xml:space="preserve">Masood, A., &amp; Zaidi, A. (2023). Empowerment of SME’s sustainability in halal cosmetics’ ecosystem by diagnosing growth constraints. </w:t>
      </w:r>
      <w:r w:rsidRPr="008153ED">
        <w:rPr>
          <w:rFonts w:ascii="Arial Nova Light" w:hAnsi="Arial Nova Light"/>
          <w:i/>
          <w:sz w:val="22"/>
          <w:szCs w:val="22"/>
        </w:rPr>
        <w:t>Journal of Islamic Marketing, 14</w:t>
      </w:r>
      <w:r w:rsidRPr="008153ED">
        <w:rPr>
          <w:rFonts w:ascii="Arial Nova Light" w:hAnsi="Arial Nova Light"/>
          <w:sz w:val="22"/>
          <w:szCs w:val="22"/>
        </w:rPr>
        <w:t>(2), 622–644. https://doi.org/10.1108/JIMA-12-2020-0371</w:t>
      </w:r>
    </w:p>
    <w:p w14:paraId="77F29D66" w14:textId="77777777" w:rsidR="008153ED" w:rsidRPr="008153ED" w:rsidRDefault="008153ED" w:rsidP="008153ED">
      <w:pPr>
        <w:spacing w:after="120"/>
        <w:ind w:left="360" w:hanging="446"/>
        <w:jc w:val="both"/>
        <w:rPr>
          <w:rFonts w:ascii="Arial Nova Light" w:hAnsi="Arial Nova Light"/>
          <w:sz w:val="22"/>
          <w:szCs w:val="22"/>
        </w:rPr>
      </w:pPr>
      <w:proofErr w:type="spellStart"/>
      <w:r w:rsidRPr="008153ED">
        <w:rPr>
          <w:rFonts w:ascii="Arial Nova Light" w:hAnsi="Arial Nova Light"/>
          <w:sz w:val="22"/>
          <w:szCs w:val="22"/>
        </w:rPr>
        <w:t>Mathivathanan</w:t>
      </w:r>
      <w:proofErr w:type="spellEnd"/>
      <w:r w:rsidRPr="008153ED">
        <w:rPr>
          <w:rFonts w:ascii="Arial Nova Light" w:hAnsi="Arial Nova Light"/>
          <w:sz w:val="22"/>
          <w:szCs w:val="22"/>
        </w:rPr>
        <w:t xml:space="preserve">, D., </w:t>
      </w:r>
      <w:proofErr w:type="spellStart"/>
      <w:r w:rsidRPr="008153ED">
        <w:rPr>
          <w:rFonts w:ascii="Arial Nova Light" w:hAnsi="Arial Nova Light"/>
          <w:sz w:val="22"/>
          <w:szCs w:val="22"/>
        </w:rPr>
        <w:t>Mathiyazhagan</w:t>
      </w:r>
      <w:proofErr w:type="spellEnd"/>
      <w:r w:rsidRPr="008153ED">
        <w:rPr>
          <w:rFonts w:ascii="Arial Nova Light" w:hAnsi="Arial Nova Light"/>
          <w:sz w:val="22"/>
          <w:szCs w:val="22"/>
        </w:rPr>
        <w:t xml:space="preserve">, K., Khorana, S., Rana, N. P., &amp; Arora, B. (2022). Drivers of circular economy for small and medium enterprises: Case study on the Indian state of Tamil Nadu. </w:t>
      </w:r>
      <w:r w:rsidRPr="008153ED">
        <w:rPr>
          <w:rFonts w:ascii="Arial Nova Light" w:hAnsi="Arial Nova Light"/>
          <w:i/>
          <w:sz w:val="22"/>
          <w:szCs w:val="22"/>
        </w:rPr>
        <w:t>Journal of Business Research, 149</w:t>
      </w:r>
      <w:r w:rsidRPr="008153ED">
        <w:rPr>
          <w:rFonts w:ascii="Arial Nova Light" w:hAnsi="Arial Nova Light"/>
          <w:sz w:val="22"/>
          <w:szCs w:val="22"/>
        </w:rPr>
        <w:t>, 997–1015. https://doi.org/10.1016/j.jbusres.2022.06.007</w:t>
      </w:r>
    </w:p>
    <w:p w14:paraId="318D5A80" w14:textId="77777777" w:rsidR="008153ED" w:rsidRPr="008153ED" w:rsidRDefault="008153ED" w:rsidP="008153ED">
      <w:pPr>
        <w:spacing w:after="120"/>
        <w:ind w:left="360" w:hanging="446"/>
        <w:jc w:val="both"/>
        <w:rPr>
          <w:rFonts w:ascii="Arial Nova Light" w:hAnsi="Arial Nova Light"/>
          <w:sz w:val="22"/>
          <w:szCs w:val="22"/>
        </w:rPr>
      </w:pPr>
      <w:proofErr w:type="spellStart"/>
      <w:r w:rsidRPr="008153ED">
        <w:rPr>
          <w:rFonts w:ascii="Arial Nova Light" w:hAnsi="Arial Nova Light"/>
          <w:sz w:val="22"/>
          <w:szCs w:val="22"/>
        </w:rPr>
        <w:t>Nudurupati</w:t>
      </w:r>
      <w:proofErr w:type="spellEnd"/>
      <w:r w:rsidRPr="008153ED">
        <w:rPr>
          <w:rFonts w:ascii="Arial Nova Light" w:hAnsi="Arial Nova Light"/>
          <w:sz w:val="22"/>
          <w:szCs w:val="22"/>
        </w:rPr>
        <w:t xml:space="preserve">, S. S., </w:t>
      </w:r>
      <w:proofErr w:type="spellStart"/>
      <w:r w:rsidRPr="008153ED">
        <w:rPr>
          <w:rFonts w:ascii="Arial Nova Light" w:hAnsi="Arial Nova Light"/>
          <w:sz w:val="22"/>
          <w:szCs w:val="22"/>
        </w:rPr>
        <w:t>Budhwar</w:t>
      </w:r>
      <w:proofErr w:type="spellEnd"/>
      <w:r w:rsidRPr="008153ED">
        <w:rPr>
          <w:rFonts w:ascii="Arial Nova Light" w:hAnsi="Arial Nova Light"/>
          <w:sz w:val="22"/>
          <w:szCs w:val="22"/>
        </w:rPr>
        <w:t xml:space="preserve">, P., </w:t>
      </w:r>
      <w:proofErr w:type="spellStart"/>
      <w:r w:rsidRPr="008153ED">
        <w:rPr>
          <w:rFonts w:ascii="Arial Nova Light" w:hAnsi="Arial Nova Light"/>
          <w:sz w:val="22"/>
          <w:szCs w:val="22"/>
        </w:rPr>
        <w:t>Pappu</w:t>
      </w:r>
      <w:proofErr w:type="spellEnd"/>
      <w:r w:rsidRPr="008153ED">
        <w:rPr>
          <w:rFonts w:ascii="Arial Nova Light" w:hAnsi="Arial Nova Light"/>
          <w:sz w:val="22"/>
          <w:szCs w:val="22"/>
        </w:rPr>
        <w:t xml:space="preserve">, R. P., Chowdhury, S., </w:t>
      </w:r>
      <w:proofErr w:type="spellStart"/>
      <w:r w:rsidRPr="008153ED">
        <w:rPr>
          <w:rFonts w:ascii="Arial Nova Light" w:hAnsi="Arial Nova Light"/>
          <w:sz w:val="22"/>
          <w:szCs w:val="22"/>
        </w:rPr>
        <w:t>Kondala</w:t>
      </w:r>
      <w:proofErr w:type="spellEnd"/>
      <w:r w:rsidRPr="008153ED">
        <w:rPr>
          <w:rFonts w:ascii="Arial Nova Light" w:hAnsi="Arial Nova Light"/>
          <w:sz w:val="22"/>
          <w:szCs w:val="22"/>
        </w:rPr>
        <w:t xml:space="preserve">, M., Chakraborty, A., &amp; Ghosh, S. K. (2022). Transforming sustainability of Indian small and medium-sized enterprises through circular economy adoption. </w:t>
      </w:r>
      <w:r w:rsidRPr="008153ED">
        <w:rPr>
          <w:rFonts w:ascii="Arial Nova Light" w:hAnsi="Arial Nova Light"/>
          <w:i/>
          <w:sz w:val="22"/>
          <w:szCs w:val="22"/>
        </w:rPr>
        <w:t>Journal of Business Research, 149</w:t>
      </w:r>
      <w:r w:rsidRPr="008153ED">
        <w:rPr>
          <w:rFonts w:ascii="Arial Nova Light" w:hAnsi="Arial Nova Light"/>
          <w:sz w:val="22"/>
          <w:szCs w:val="22"/>
        </w:rPr>
        <w:t>, 250–269. https://doi.org/10.1016/j.jbusres.2022.05.036</w:t>
      </w:r>
    </w:p>
    <w:p w14:paraId="16D5B180" w14:textId="77777777" w:rsidR="008153ED" w:rsidRPr="008153ED" w:rsidRDefault="008153ED" w:rsidP="008153ED">
      <w:pPr>
        <w:spacing w:after="120"/>
        <w:ind w:left="360" w:hanging="446"/>
        <w:jc w:val="both"/>
        <w:rPr>
          <w:rFonts w:ascii="Arial Nova Light" w:hAnsi="Arial Nova Light"/>
          <w:sz w:val="22"/>
          <w:szCs w:val="22"/>
        </w:rPr>
      </w:pPr>
      <w:proofErr w:type="spellStart"/>
      <w:r w:rsidRPr="008153ED">
        <w:rPr>
          <w:rFonts w:ascii="Arial Nova Light" w:hAnsi="Arial Nova Light"/>
          <w:sz w:val="22"/>
          <w:szCs w:val="22"/>
        </w:rPr>
        <w:t>Raeni</w:t>
      </w:r>
      <w:proofErr w:type="spellEnd"/>
      <w:r w:rsidRPr="008153ED">
        <w:rPr>
          <w:rFonts w:ascii="Arial Nova Light" w:hAnsi="Arial Nova Light"/>
          <w:sz w:val="22"/>
          <w:szCs w:val="22"/>
        </w:rPr>
        <w:t xml:space="preserve">, R., Thomson, I., &amp; Frandsen, A.-C. (2022). Mobilising Islamic funds for climate actions: From transparency to traceability. </w:t>
      </w:r>
      <w:r w:rsidRPr="008153ED">
        <w:rPr>
          <w:rFonts w:ascii="Arial Nova Light" w:hAnsi="Arial Nova Light"/>
          <w:i/>
          <w:sz w:val="22"/>
          <w:szCs w:val="22"/>
        </w:rPr>
        <w:t>Social and Environmental Accountability Journal, 42</w:t>
      </w:r>
      <w:r w:rsidRPr="008153ED">
        <w:rPr>
          <w:rFonts w:ascii="Arial Nova Light" w:hAnsi="Arial Nova Light"/>
          <w:sz w:val="22"/>
          <w:szCs w:val="22"/>
        </w:rPr>
        <w:t>(1–2), 38–62. https://doi.org/10.1080/0969160X.2022.2066553</w:t>
      </w:r>
    </w:p>
    <w:p w14:paraId="1F073C8A" w14:textId="77777777" w:rsidR="008153ED" w:rsidRPr="008153ED" w:rsidRDefault="008153ED" w:rsidP="008153ED">
      <w:pPr>
        <w:spacing w:after="120"/>
        <w:ind w:left="360" w:hanging="446"/>
        <w:jc w:val="both"/>
        <w:rPr>
          <w:rFonts w:ascii="Arial Nova Light" w:hAnsi="Arial Nova Light"/>
          <w:sz w:val="22"/>
          <w:szCs w:val="22"/>
        </w:rPr>
      </w:pPr>
      <w:r w:rsidRPr="008153ED">
        <w:rPr>
          <w:rFonts w:ascii="Arial Nova Light" w:hAnsi="Arial Nova Light"/>
          <w:sz w:val="22"/>
          <w:szCs w:val="22"/>
        </w:rPr>
        <w:t xml:space="preserve">Raimi, L., &amp; </w:t>
      </w:r>
      <w:proofErr w:type="spellStart"/>
      <w:r w:rsidRPr="008153ED">
        <w:rPr>
          <w:rFonts w:ascii="Arial Nova Light" w:hAnsi="Arial Nova Light"/>
          <w:sz w:val="22"/>
          <w:szCs w:val="22"/>
        </w:rPr>
        <w:t>Bamiro</w:t>
      </w:r>
      <w:proofErr w:type="spellEnd"/>
      <w:r w:rsidRPr="008153ED">
        <w:rPr>
          <w:rFonts w:ascii="Arial Nova Light" w:hAnsi="Arial Nova Light"/>
          <w:sz w:val="22"/>
          <w:szCs w:val="22"/>
        </w:rPr>
        <w:t xml:space="preserve">, N. B. (2026). Role of Islamic sustainable finance in promoting green entrepreneurship and sustainable development goals in emerging Muslim economies. </w:t>
      </w:r>
      <w:r w:rsidRPr="008153ED">
        <w:rPr>
          <w:rFonts w:ascii="Arial Nova Light" w:hAnsi="Arial Nova Light"/>
          <w:i/>
          <w:sz w:val="22"/>
          <w:szCs w:val="22"/>
        </w:rPr>
        <w:t>International Journal of Social Economics, 53</w:t>
      </w:r>
      <w:r w:rsidRPr="008153ED">
        <w:rPr>
          <w:rFonts w:ascii="Arial Nova Light" w:hAnsi="Arial Nova Light"/>
          <w:sz w:val="22"/>
          <w:szCs w:val="22"/>
        </w:rPr>
        <w:t>(2), 181–196. https://doi.org/10.1108/IJSE-05-2024-0408</w:t>
      </w:r>
    </w:p>
    <w:p w14:paraId="73AA4715" w14:textId="77777777" w:rsidR="008153ED" w:rsidRPr="008153ED" w:rsidRDefault="008153ED" w:rsidP="008153ED">
      <w:pPr>
        <w:spacing w:after="120"/>
        <w:ind w:left="360" w:hanging="446"/>
        <w:jc w:val="both"/>
        <w:rPr>
          <w:rFonts w:ascii="Arial Nova Light" w:hAnsi="Arial Nova Light"/>
          <w:sz w:val="22"/>
          <w:szCs w:val="22"/>
        </w:rPr>
      </w:pPr>
      <w:r w:rsidRPr="008153ED">
        <w:rPr>
          <w:rFonts w:ascii="Arial Nova Light" w:hAnsi="Arial Nova Light"/>
          <w:sz w:val="22"/>
          <w:szCs w:val="22"/>
        </w:rPr>
        <w:t xml:space="preserve">Re, B., &amp; Magnani, G. (2022). Value co-creation in circular entrepreneurship: An exploratory study on born circular SMEs. </w:t>
      </w:r>
      <w:r w:rsidRPr="008153ED">
        <w:rPr>
          <w:rFonts w:ascii="Arial Nova Light" w:hAnsi="Arial Nova Light"/>
          <w:i/>
          <w:sz w:val="22"/>
          <w:szCs w:val="22"/>
        </w:rPr>
        <w:t>Journal of Business Research, 147</w:t>
      </w:r>
      <w:r w:rsidRPr="008153ED">
        <w:rPr>
          <w:rFonts w:ascii="Arial Nova Light" w:hAnsi="Arial Nova Light"/>
          <w:sz w:val="22"/>
          <w:szCs w:val="22"/>
        </w:rPr>
        <w:t>, 189–207. https://doi.org/10.1016/j.jbusres.2022.03.090</w:t>
      </w:r>
    </w:p>
    <w:p w14:paraId="6675DF5F" w14:textId="77777777" w:rsidR="008153ED" w:rsidRPr="008153ED" w:rsidRDefault="008153ED" w:rsidP="008153ED">
      <w:pPr>
        <w:spacing w:after="120"/>
        <w:ind w:left="360" w:hanging="446"/>
        <w:jc w:val="both"/>
        <w:rPr>
          <w:rFonts w:ascii="Arial Nova Light" w:hAnsi="Arial Nova Light"/>
          <w:sz w:val="22"/>
          <w:szCs w:val="22"/>
        </w:rPr>
      </w:pPr>
      <w:r w:rsidRPr="008153ED">
        <w:rPr>
          <w:rFonts w:ascii="Arial Nova Light" w:hAnsi="Arial Nova Light"/>
          <w:sz w:val="22"/>
          <w:szCs w:val="22"/>
        </w:rPr>
        <w:t xml:space="preserve">Saarinen, A., &amp; </w:t>
      </w:r>
      <w:proofErr w:type="spellStart"/>
      <w:r w:rsidRPr="008153ED">
        <w:rPr>
          <w:rFonts w:ascii="Arial Nova Light" w:hAnsi="Arial Nova Light"/>
          <w:sz w:val="22"/>
          <w:szCs w:val="22"/>
        </w:rPr>
        <w:t>Aarikka-Stenroos</w:t>
      </w:r>
      <w:proofErr w:type="spellEnd"/>
      <w:r w:rsidRPr="008153ED">
        <w:rPr>
          <w:rFonts w:ascii="Arial Nova Light" w:hAnsi="Arial Nova Light"/>
          <w:sz w:val="22"/>
          <w:szCs w:val="22"/>
        </w:rPr>
        <w:t xml:space="preserve">, L. (2023). Financing-related drivers and barriers for circular economy business: Developing a conceptual model from a field study. </w:t>
      </w:r>
      <w:r w:rsidRPr="008153ED">
        <w:rPr>
          <w:rFonts w:ascii="Arial Nova Light" w:hAnsi="Arial Nova Light"/>
          <w:i/>
          <w:sz w:val="22"/>
          <w:szCs w:val="22"/>
        </w:rPr>
        <w:t>Circular Economy and Sustainability, 3</w:t>
      </w:r>
      <w:r w:rsidRPr="008153ED">
        <w:rPr>
          <w:rFonts w:ascii="Arial Nova Light" w:hAnsi="Arial Nova Light"/>
          <w:sz w:val="22"/>
          <w:szCs w:val="22"/>
        </w:rPr>
        <w:t>, 1187–1211. https://doi.org/10.1007/s43615-022-00222-5</w:t>
      </w:r>
    </w:p>
    <w:p w14:paraId="53072B55" w14:textId="77777777" w:rsidR="008153ED" w:rsidRPr="008153ED" w:rsidRDefault="008153ED" w:rsidP="008153ED">
      <w:pPr>
        <w:spacing w:after="120"/>
        <w:ind w:left="360" w:hanging="446"/>
        <w:jc w:val="both"/>
        <w:rPr>
          <w:rFonts w:ascii="Arial Nova Light" w:hAnsi="Arial Nova Light"/>
          <w:sz w:val="22"/>
          <w:szCs w:val="22"/>
        </w:rPr>
      </w:pPr>
      <w:proofErr w:type="spellStart"/>
      <w:r w:rsidRPr="008153ED">
        <w:rPr>
          <w:rFonts w:ascii="Arial Nova Light" w:hAnsi="Arial Nova Light"/>
          <w:sz w:val="22"/>
          <w:szCs w:val="22"/>
        </w:rPr>
        <w:t>Saifurrahman</w:t>
      </w:r>
      <w:proofErr w:type="spellEnd"/>
      <w:r w:rsidRPr="008153ED">
        <w:rPr>
          <w:rFonts w:ascii="Arial Nova Light" w:hAnsi="Arial Nova Light"/>
          <w:sz w:val="22"/>
          <w:szCs w:val="22"/>
        </w:rPr>
        <w:t xml:space="preserve">, A., &amp; </w:t>
      </w:r>
      <w:proofErr w:type="spellStart"/>
      <w:r w:rsidRPr="008153ED">
        <w:rPr>
          <w:rFonts w:ascii="Arial Nova Light" w:hAnsi="Arial Nova Light"/>
          <w:sz w:val="22"/>
          <w:szCs w:val="22"/>
        </w:rPr>
        <w:t>Kassim</w:t>
      </w:r>
      <w:proofErr w:type="spellEnd"/>
      <w:r w:rsidRPr="008153ED">
        <w:rPr>
          <w:rFonts w:ascii="Arial Nova Light" w:hAnsi="Arial Nova Light"/>
          <w:sz w:val="22"/>
          <w:szCs w:val="22"/>
        </w:rPr>
        <w:t xml:space="preserve">, S. (2024). Regulatory issues inhibiting the financial inclusion: A case study among Islamic banks and MSMEs in Indonesia. </w:t>
      </w:r>
      <w:r w:rsidRPr="008153ED">
        <w:rPr>
          <w:rFonts w:ascii="Arial Nova Light" w:hAnsi="Arial Nova Light"/>
          <w:i/>
          <w:sz w:val="22"/>
          <w:szCs w:val="22"/>
        </w:rPr>
        <w:t>Qualitative Research in Financial Markets, 16</w:t>
      </w:r>
      <w:r w:rsidRPr="008153ED">
        <w:rPr>
          <w:rFonts w:ascii="Arial Nova Light" w:hAnsi="Arial Nova Light"/>
          <w:sz w:val="22"/>
          <w:szCs w:val="22"/>
        </w:rPr>
        <w:t>(4), 589–617. https://doi.org/10.1108/QRFM-05-2022-0086</w:t>
      </w:r>
    </w:p>
    <w:p w14:paraId="55164454" w14:textId="77777777" w:rsidR="008153ED" w:rsidRPr="008153ED" w:rsidRDefault="008153ED" w:rsidP="008153ED">
      <w:pPr>
        <w:spacing w:after="120"/>
        <w:ind w:left="360" w:hanging="446"/>
        <w:jc w:val="both"/>
        <w:rPr>
          <w:rFonts w:ascii="Arial Nova Light" w:hAnsi="Arial Nova Light"/>
          <w:sz w:val="22"/>
          <w:szCs w:val="22"/>
        </w:rPr>
      </w:pPr>
      <w:r w:rsidRPr="008153ED">
        <w:rPr>
          <w:rFonts w:ascii="Arial Nova Light" w:hAnsi="Arial Nova Light"/>
          <w:sz w:val="22"/>
          <w:szCs w:val="22"/>
        </w:rPr>
        <w:t xml:space="preserve">Sohal, A., &amp; De Vass, T. (2022). Australian SME’s experience in transitioning to circular economy. </w:t>
      </w:r>
      <w:r w:rsidRPr="008153ED">
        <w:rPr>
          <w:rFonts w:ascii="Arial Nova Light" w:hAnsi="Arial Nova Light"/>
          <w:i/>
          <w:sz w:val="22"/>
          <w:szCs w:val="22"/>
        </w:rPr>
        <w:t>Journal of Business Research, 142</w:t>
      </w:r>
      <w:r w:rsidRPr="008153ED">
        <w:rPr>
          <w:rFonts w:ascii="Arial Nova Light" w:hAnsi="Arial Nova Light"/>
          <w:sz w:val="22"/>
          <w:szCs w:val="22"/>
        </w:rPr>
        <w:t>, 594–604. https://doi.org/10.1016/j.jbusres.2021.12.070</w:t>
      </w:r>
    </w:p>
    <w:p w14:paraId="52482C4C" w14:textId="77777777" w:rsidR="008153ED" w:rsidRPr="008153ED" w:rsidRDefault="008153ED" w:rsidP="008153ED">
      <w:pPr>
        <w:spacing w:after="120"/>
        <w:ind w:left="360" w:hanging="446"/>
        <w:jc w:val="both"/>
        <w:rPr>
          <w:rFonts w:ascii="Arial Nova Light" w:hAnsi="Arial Nova Light"/>
          <w:sz w:val="22"/>
          <w:szCs w:val="22"/>
        </w:rPr>
      </w:pPr>
      <w:r w:rsidRPr="008153ED">
        <w:rPr>
          <w:rFonts w:ascii="Arial Nova Light" w:hAnsi="Arial Nova Light"/>
          <w:sz w:val="22"/>
          <w:szCs w:val="22"/>
        </w:rPr>
        <w:t xml:space="preserve">Zhu, B., Nguyen, M., Siri, N. S., &amp; Malik, A. (2022). Towards a transformative model of circular economy for SMEs. </w:t>
      </w:r>
      <w:r w:rsidRPr="008153ED">
        <w:rPr>
          <w:rFonts w:ascii="Arial Nova Light" w:hAnsi="Arial Nova Light"/>
          <w:i/>
          <w:sz w:val="22"/>
          <w:szCs w:val="22"/>
        </w:rPr>
        <w:t>Journal of Business Research, 144</w:t>
      </w:r>
      <w:r w:rsidRPr="008153ED">
        <w:rPr>
          <w:rFonts w:ascii="Arial Nova Light" w:hAnsi="Arial Nova Light"/>
          <w:sz w:val="22"/>
          <w:szCs w:val="22"/>
        </w:rPr>
        <w:t>, 545–555. https://doi.org/10.1016/j.jbusres.2022.01.093</w:t>
      </w:r>
    </w:p>
    <w:p w14:paraId="6FD8DC54" w14:textId="63ECA369" w:rsidR="00E32990" w:rsidRDefault="00E32990" w:rsidP="008153ED">
      <w:pPr>
        <w:spacing w:after="120"/>
        <w:ind w:firstLine="562"/>
        <w:jc w:val="both"/>
        <w:rPr>
          <w:rFonts w:ascii="Arial Nova Light" w:hAnsi="Arial Nova Light"/>
          <w:sz w:val="22"/>
          <w:szCs w:val="22"/>
        </w:rPr>
      </w:pPr>
    </w:p>
    <w:sectPr w:rsidR="00E32990" w:rsidSect="00864D8E">
      <w:headerReference w:type="even" r:id="rId10"/>
      <w:headerReference w:type="default" r:id="rId11"/>
      <w:footerReference w:type="even" r:id="rId12"/>
      <w:footerReference w:type="default" r:id="rId13"/>
      <w:headerReference w:type="first" r:id="rId14"/>
      <w:footerReference w:type="first" r:id="rId15"/>
      <w:pgSz w:w="11906" w:h="16838"/>
      <w:pgMar w:top="1701" w:right="1134" w:bottom="1843" w:left="1701" w:header="709" w:footer="370" w:gutter="0"/>
      <w:pgNumType w:start="1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150FC" w14:textId="77777777" w:rsidR="00D03879" w:rsidRDefault="00D03879">
      <w:pPr>
        <w:spacing w:after="0"/>
      </w:pPr>
      <w:r>
        <w:separator/>
      </w:r>
    </w:p>
  </w:endnote>
  <w:endnote w:type="continuationSeparator" w:id="0">
    <w:p w14:paraId="6EC34169" w14:textId="77777777" w:rsidR="00D03879" w:rsidRDefault="00D0387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08BB65A0-6AFE-4511-91A4-01375F0F244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embedRegular r:id="rId2" w:fontKey="{A9D6304A-E641-4666-90F7-D0B43F174840}"/>
    <w:embedBold r:id="rId3" w:fontKey="{FAB01154-102B-41AC-83DE-2A7760074F24}"/>
    <w:embedItalic r:id="rId4" w:fontKey="{17CB72E6-2D53-44B0-B945-211AEC9C5C7B}"/>
    <w:embedBoldItalic r:id="rId5" w:fontKey="{AA525728-6208-4566-8DA4-ADBC28DD78E3}"/>
  </w:font>
  <w:font w:name="Segoe UI">
    <w:panose1 w:val="020B0502040204020203"/>
    <w:charset w:val="00"/>
    <w:family w:val="swiss"/>
    <w:pitch w:val="variable"/>
    <w:sig w:usb0="E4002EFF" w:usb1="C000E47F" w:usb2="00000009" w:usb3="00000000" w:csb0="000001FF" w:csb1="00000000"/>
    <w:embedRegular r:id="rId6" w:fontKey="{84378DD2-1590-4B1E-B2E6-ABB8FEFD5F6B}"/>
  </w:font>
  <w:font w:name="STIXMathCalligraphy-Regular">
    <w:charset w:val="00"/>
    <w:family w:val="roman"/>
    <w:pitch w:val="default"/>
  </w:font>
  <w:font w:name="STIXMath-Italic">
    <w:charset w:val="00"/>
    <w:family w:val="roman"/>
    <w:pitch w:val="default"/>
  </w:font>
  <w:font w:name="STIXMathSans-Regular">
    <w:charset w:val="00"/>
    <w:family w:val="roman"/>
    <w:pitch w:val="default"/>
  </w:font>
  <w:font w:name="CharisSIL-Bold">
    <w:charset w:val="00"/>
    <w:family w:val="roman"/>
    <w:pitch w:val="default"/>
  </w:font>
  <w:font w:name="STIXMath-Regular">
    <w:charset w:val="00"/>
    <w:family w:val="roman"/>
    <w:pitch w:val="default"/>
  </w:font>
  <w:font w:name="Calibri">
    <w:panose1 w:val="020F0502020204030204"/>
    <w:charset w:val="00"/>
    <w:family w:val="swiss"/>
    <w:pitch w:val="variable"/>
    <w:sig w:usb0="E4002EFF" w:usb1="C200247B" w:usb2="00000009" w:usb3="00000000" w:csb0="000001FF" w:csb1="00000000"/>
    <w:embedRegular r:id="rId7" w:fontKey="{C0D3D3A3-853A-435B-AF6B-62E818610391}"/>
    <w:embedItalic r:id="rId8" w:fontKey="{EB514813-1675-467D-854C-15892503BB71}"/>
  </w:font>
  <w:font w:name="Georgia">
    <w:panose1 w:val="02040502050405020303"/>
    <w:charset w:val="00"/>
    <w:family w:val="roman"/>
    <w:pitch w:val="variable"/>
    <w:sig w:usb0="00000287" w:usb1="00000000" w:usb2="00000000" w:usb3="00000000" w:csb0="0000009F" w:csb1="00000000"/>
    <w:embedItalic r:id="rId9" w:fontKey="{3E88F753-8FE1-4270-8724-260209801299}"/>
  </w:font>
  <w:font w:name="Noto Sans">
    <w:charset w:val="00"/>
    <w:family w:val="swiss"/>
    <w:pitch w:val="variable"/>
    <w:sig w:usb0="E00082FF" w:usb1="400078FF" w:usb2="00000021" w:usb3="00000000" w:csb0="0000019F" w:csb1="00000000"/>
    <w:embedRegular r:id="rId10" w:fontKey="{249C1976-336A-4627-8D10-F827F5DA5DD3}"/>
  </w:font>
  <w:font w:name="Quattrocento Sans">
    <w:charset w:val="00"/>
    <w:family w:val="swiss"/>
    <w:pitch w:val="variable"/>
    <w:sig w:usb0="800000BF" w:usb1="4000005B" w:usb2="00000000" w:usb3="00000000" w:csb0="00000001" w:csb1="00000000"/>
    <w:embedRegular r:id="rId11" w:fontKey="{D0ECFC0F-5A2E-446F-A672-F54272421DF8}"/>
    <w:embedBold r:id="rId12" w:fontKey="{F802E950-64F0-46DF-ABE5-E4E552F95DC6}"/>
  </w:font>
  <w:font w:name="Arial Narrow">
    <w:panose1 w:val="020B0606020202030204"/>
    <w:charset w:val="00"/>
    <w:family w:val="swiss"/>
    <w:pitch w:val="variable"/>
    <w:sig w:usb0="00000287" w:usb1="00000800" w:usb2="00000000" w:usb3="00000000" w:csb0="0000009F" w:csb1="00000000"/>
    <w:embedBold r:id="rId13" w:fontKey="{169B598D-830F-4EAE-876D-F4244052C2AA}"/>
  </w:font>
  <w:font w:name="Calibri Light">
    <w:panose1 w:val="020F0302020204030204"/>
    <w:charset w:val="00"/>
    <w:family w:val="swiss"/>
    <w:pitch w:val="variable"/>
    <w:sig w:usb0="E4002EFF" w:usb1="C200247B" w:usb2="00000009" w:usb3="00000000" w:csb0="000001FF" w:csb1="00000000"/>
    <w:embedRegular r:id="rId14" w:fontKey="{9C15997A-76B7-4EA0-A19D-313083FD4E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4D217" w14:textId="77777777" w:rsidR="00A97C24" w:rsidRDefault="00C6520D">
    <w:pPr>
      <w:pBdr>
        <w:top w:val="single" w:sz="18" w:space="1" w:color="20A3A0"/>
        <w:left w:val="nil"/>
        <w:bottom w:val="nil"/>
        <w:right w:val="nil"/>
        <w:between w:val="nil"/>
      </w:pBdr>
      <w:tabs>
        <w:tab w:val="center" w:pos="4513"/>
        <w:tab w:val="right" w:pos="9026"/>
      </w:tabs>
      <w:spacing w:after="0"/>
      <w:jc w:val="center"/>
      <w:rPr>
        <w:color w:val="000000"/>
      </w:rPr>
    </w:pPr>
    <w:r>
      <w:rPr>
        <w:noProof/>
      </w:rPr>
      <w:drawing>
        <wp:anchor distT="0" distB="0" distL="114300" distR="114300" simplePos="0" relativeHeight="251665408" behindDoc="0" locked="0" layoutInCell="1" allowOverlap="1" wp14:anchorId="4C56B382" wp14:editId="35316D73">
          <wp:simplePos x="0" y="0"/>
          <wp:positionH relativeFrom="column">
            <wp:posOffset>0</wp:posOffset>
          </wp:positionH>
          <wp:positionV relativeFrom="paragraph">
            <wp:posOffset>-38100</wp:posOffset>
          </wp:positionV>
          <wp:extent cx="1365250" cy="489973"/>
          <wp:effectExtent l="0" t="0" r="6350" b="5715"/>
          <wp:wrapNone/>
          <wp:docPr id="20646580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5250" cy="4899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6C9CB6" w14:textId="509B2FA8" w:rsidR="00A97C24" w:rsidRPr="003006D6" w:rsidRDefault="00000000">
    <w:pPr>
      <w:pBdr>
        <w:top w:val="nil"/>
        <w:left w:val="nil"/>
        <w:bottom w:val="nil"/>
        <w:right w:val="nil"/>
        <w:between w:val="nil"/>
      </w:pBdr>
      <w:tabs>
        <w:tab w:val="center" w:pos="4513"/>
        <w:tab w:val="right" w:pos="9026"/>
      </w:tabs>
      <w:jc w:val="right"/>
      <w:rPr>
        <w:rFonts w:ascii="Quattrocento Sans" w:eastAsia="Quattrocento Sans" w:hAnsi="Quattrocento Sans" w:cs="Quattrocento Sans"/>
      </w:rPr>
    </w:pPr>
    <w:r w:rsidRPr="003006D6">
      <w:rPr>
        <w:rFonts w:ascii="Quattrocento Sans" w:eastAsia="Quattrocento Sans" w:hAnsi="Quattrocento Sans" w:cs="Quattrocento Sans"/>
        <w:b/>
        <w:bCs/>
      </w:rPr>
      <w:t xml:space="preserve"> </w:t>
    </w:r>
    <w:r w:rsidR="00294CF9">
      <w:rPr>
        <w:rFonts w:ascii="Quattrocento Sans" w:eastAsia="Quattrocento Sans" w:hAnsi="Quattrocento Sans" w:cs="Quattrocento Sans"/>
      </w:rPr>
      <w:t xml:space="preserve">17-18 </w:t>
    </w:r>
    <w:r w:rsidR="00C6520D" w:rsidRPr="003006D6">
      <w:rPr>
        <w:rFonts w:ascii="Quattrocento Sans" w:eastAsia="Quattrocento Sans" w:hAnsi="Quattrocento Sans" w:cs="Quattrocento Sans"/>
      </w:rPr>
      <w:t>September</w:t>
    </w:r>
    <w:r w:rsidRPr="003006D6">
      <w:rPr>
        <w:rFonts w:ascii="Quattrocento Sans" w:eastAsia="Quattrocento Sans" w:hAnsi="Quattrocento Sans" w:cs="Quattrocento Sans"/>
      </w:rPr>
      <w:t xml:space="preserve"> </w:t>
    </w:r>
    <w:proofErr w:type="gramStart"/>
    <w:r w:rsidRPr="003006D6">
      <w:rPr>
        <w:rFonts w:ascii="Quattrocento Sans" w:eastAsia="Quattrocento Sans" w:hAnsi="Quattrocento Sans" w:cs="Quattrocento Sans"/>
      </w:rPr>
      <w:t>202</w:t>
    </w:r>
    <w:r w:rsidR="00C6520D" w:rsidRPr="003006D6">
      <w:rPr>
        <w:rFonts w:ascii="Quattrocento Sans" w:eastAsia="Quattrocento Sans" w:hAnsi="Quattrocento Sans" w:cs="Quattrocento Sans"/>
      </w:rPr>
      <w:t>6</w:t>
    </w:r>
    <w:r w:rsidRPr="003006D6">
      <w:rPr>
        <w:rFonts w:ascii="Quattrocento Sans" w:eastAsia="Quattrocento Sans" w:hAnsi="Quattrocento Sans" w:cs="Quattrocento Sans"/>
      </w:rPr>
      <w:t xml:space="preserve">  |</w:t>
    </w:r>
    <w:proofErr w:type="gramEnd"/>
    <w:r w:rsidRPr="003006D6">
      <w:rPr>
        <w:rFonts w:ascii="Quattrocento Sans" w:eastAsia="Quattrocento Sans" w:hAnsi="Quattrocento Sans" w:cs="Quattrocento Sans"/>
      </w:rPr>
      <w:t xml:space="preserve"> </w:t>
    </w:r>
    <w:r w:rsidRPr="003006D6">
      <w:rPr>
        <w:rFonts w:ascii="Quattrocento Sans" w:eastAsia="Quattrocento Sans" w:hAnsi="Quattrocento Sans" w:cs="Quattrocento Sans"/>
      </w:rPr>
      <w:fldChar w:fldCharType="begin"/>
    </w:r>
    <w:r w:rsidRPr="003006D6">
      <w:rPr>
        <w:rFonts w:ascii="Quattrocento Sans" w:eastAsia="Quattrocento Sans" w:hAnsi="Quattrocento Sans" w:cs="Quattrocento Sans"/>
      </w:rPr>
      <w:instrText>PAGE</w:instrText>
    </w:r>
    <w:r w:rsidRPr="003006D6">
      <w:rPr>
        <w:rFonts w:ascii="Quattrocento Sans" w:eastAsia="Quattrocento Sans" w:hAnsi="Quattrocento Sans" w:cs="Quattrocento Sans"/>
      </w:rPr>
      <w:fldChar w:fldCharType="separate"/>
    </w:r>
    <w:r w:rsidR="00F57F77" w:rsidRPr="003006D6">
      <w:rPr>
        <w:rFonts w:ascii="Quattrocento Sans" w:eastAsia="Quattrocento Sans" w:hAnsi="Quattrocento Sans" w:cs="Quattrocento Sans"/>
        <w:noProof/>
      </w:rPr>
      <w:t>2</w:t>
    </w:r>
    <w:r w:rsidRPr="003006D6">
      <w:rPr>
        <w:rFonts w:ascii="Quattrocento Sans" w:eastAsia="Quattrocento Sans" w:hAnsi="Quattrocento Sans" w:cs="Quattrocento Sans"/>
      </w:rPr>
      <w:fldChar w:fldCharType="end"/>
    </w:r>
  </w:p>
  <w:p w14:paraId="35C4E2BC" w14:textId="77777777" w:rsidR="00A97C24" w:rsidRDefault="00A97C24">
    <w:pPr>
      <w:pBdr>
        <w:top w:val="single" w:sz="18" w:space="1" w:color="20A3A0"/>
        <w:left w:val="nil"/>
        <w:bottom w:val="nil"/>
        <w:right w:val="nil"/>
        <w:between w:val="nil"/>
      </w:pBdr>
      <w:tabs>
        <w:tab w:val="center" w:pos="4513"/>
        <w:tab w:val="right" w:pos="9026"/>
      </w:tabs>
      <w:spacing w:after="0"/>
      <w:jc w:val="center"/>
      <w:rPr>
        <w:color w:val="000000"/>
        <w:sz w:val="8"/>
        <w:szCs w:val="8"/>
      </w:rPr>
    </w:pPr>
  </w:p>
  <w:p w14:paraId="5D3B205C" w14:textId="77777777" w:rsidR="00A97C24" w:rsidRDefault="00A97C24">
    <w:pPr>
      <w:pBdr>
        <w:top w:val="single" w:sz="18" w:space="1" w:color="20A3A0"/>
        <w:left w:val="nil"/>
        <w:bottom w:val="nil"/>
        <w:right w:val="nil"/>
        <w:between w:val="nil"/>
      </w:pBdr>
      <w:tabs>
        <w:tab w:val="center" w:pos="4513"/>
        <w:tab w:val="right" w:pos="9026"/>
      </w:tabs>
      <w:spacing w:after="0"/>
      <w:jc w:val="center"/>
      <w:rPr>
        <w:color w:val="000000"/>
        <w:sz w:val="8"/>
        <w:szCs w:val="8"/>
      </w:rPr>
    </w:pPr>
  </w:p>
  <w:p w14:paraId="40555000" w14:textId="77777777" w:rsidR="00A97C24" w:rsidRDefault="00A97C24">
    <w:pPr>
      <w:pBdr>
        <w:top w:val="nil"/>
        <w:left w:val="nil"/>
        <w:bottom w:val="nil"/>
        <w:right w:val="nil"/>
        <w:between w:val="nil"/>
      </w:pBdr>
      <w:tabs>
        <w:tab w:val="center" w:pos="4513"/>
        <w:tab w:val="right" w:pos="9026"/>
      </w:tabs>
      <w:spacing w:after="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E24E5" w14:textId="77777777" w:rsidR="00A97C24" w:rsidRDefault="00C6520D">
    <w:pPr>
      <w:pBdr>
        <w:top w:val="single" w:sz="18" w:space="1" w:color="20A3A0"/>
        <w:left w:val="nil"/>
        <w:bottom w:val="nil"/>
        <w:right w:val="nil"/>
        <w:between w:val="nil"/>
      </w:pBdr>
      <w:tabs>
        <w:tab w:val="center" w:pos="4513"/>
        <w:tab w:val="right" w:pos="9026"/>
      </w:tabs>
      <w:spacing w:after="0"/>
      <w:rPr>
        <w:color w:val="000000"/>
      </w:rPr>
    </w:pPr>
    <w:r>
      <w:rPr>
        <w:noProof/>
      </w:rPr>
      <w:drawing>
        <wp:anchor distT="0" distB="0" distL="114300" distR="114300" simplePos="0" relativeHeight="251663360" behindDoc="0" locked="0" layoutInCell="1" allowOverlap="1" wp14:anchorId="4440ABD8" wp14:editId="000D59DC">
          <wp:simplePos x="0" y="0"/>
          <wp:positionH relativeFrom="column">
            <wp:posOffset>-178435</wp:posOffset>
          </wp:positionH>
          <wp:positionV relativeFrom="paragraph">
            <wp:posOffset>-41275</wp:posOffset>
          </wp:positionV>
          <wp:extent cx="1365250" cy="489973"/>
          <wp:effectExtent l="0" t="0" r="6350" b="5715"/>
          <wp:wrapNone/>
          <wp:docPr id="11843187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5250" cy="4899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4A2660" w14:textId="253824E7" w:rsidR="00A97C24" w:rsidRPr="003006D6" w:rsidRDefault="003006D6">
    <w:pPr>
      <w:pBdr>
        <w:top w:val="nil"/>
        <w:left w:val="nil"/>
        <w:bottom w:val="nil"/>
        <w:right w:val="nil"/>
        <w:between w:val="nil"/>
      </w:pBdr>
      <w:tabs>
        <w:tab w:val="center" w:pos="4513"/>
        <w:tab w:val="right" w:pos="9026"/>
      </w:tabs>
      <w:jc w:val="right"/>
      <w:rPr>
        <w:rFonts w:ascii="Quattrocento Sans" w:eastAsia="Quattrocento Sans" w:hAnsi="Quattrocento Sans" w:cs="Quattrocento Sans"/>
      </w:rPr>
    </w:pPr>
    <w:r>
      <w:rPr>
        <w:rFonts w:ascii="Quattrocento Sans" w:eastAsia="Quattrocento Sans" w:hAnsi="Quattrocento Sans" w:cs="Quattrocento Sans"/>
      </w:rPr>
      <w:t>17-1</w:t>
    </w:r>
    <w:r w:rsidR="00294CF9">
      <w:rPr>
        <w:rFonts w:ascii="Quattrocento Sans" w:eastAsia="Quattrocento Sans" w:hAnsi="Quattrocento Sans" w:cs="Quattrocento Sans"/>
      </w:rPr>
      <w:t>8</w:t>
    </w:r>
    <w:r w:rsidR="00C6520D" w:rsidRPr="003006D6">
      <w:rPr>
        <w:rFonts w:ascii="Quattrocento Sans" w:eastAsia="Quattrocento Sans" w:hAnsi="Quattrocento Sans" w:cs="Quattrocento Sans"/>
      </w:rPr>
      <w:t xml:space="preserve"> September </w:t>
    </w:r>
    <w:proofErr w:type="gramStart"/>
    <w:r w:rsidR="00C6520D" w:rsidRPr="003006D6">
      <w:rPr>
        <w:rFonts w:ascii="Quattrocento Sans" w:eastAsia="Quattrocento Sans" w:hAnsi="Quattrocento Sans" w:cs="Quattrocento Sans"/>
      </w:rPr>
      <w:t>2026  |</w:t>
    </w:r>
    <w:proofErr w:type="gramEnd"/>
    <w:r w:rsidR="00C6520D" w:rsidRPr="003006D6">
      <w:rPr>
        <w:rFonts w:ascii="Quattrocento Sans" w:eastAsia="Quattrocento Sans" w:hAnsi="Quattrocento Sans" w:cs="Quattrocento Sans"/>
      </w:rPr>
      <w:t xml:space="preserve"> </w:t>
    </w:r>
    <w:r w:rsidR="00C6520D" w:rsidRPr="003006D6">
      <w:rPr>
        <w:rFonts w:ascii="Quattrocento Sans" w:eastAsia="Quattrocento Sans" w:hAnsi="Quattrocento Sans" w:cs="Quattrocento Sans"/>
      </w:rPr>
      <w:fldChar w:fldCharType="begin"/>
    </w:r>
    <w:r w:rsidR="00C6520D" w:rsidRPr="003006D6">
      <w:rPr>
        <w:rFonts w:ascii="Quattrocento Sans" w:eastAsia="Quattrocento Sans" w:hAnsi="Quattrocento Sans" w:cs="Quattrocento Sans"/>
      </w:rPr>
      <w:instrText>PAGE</w:instrText>
    </w:r>
    <w:r w:rsidR="00C6520D" w:rsidRPr="003006D6">
      <w:rPr>
        <w:rFonts w:ascii="Quattrocento Sans" w:eastAsia="Quattrocento Sans" w:hAnsi="Quattrocento Sans" w:cs="Quattrocento Sans"/>
      </w:rPr>
      <w:fldChar w:fldCharType="separate"/>
    </w:r>
    <w:r w:rsidR="00F57F77" w:rsidRPr="003006D6">
      <w:rPr>
        <w:rFonts w:ascii="Quattrocento Sans" w:eastAsia="Quattrocento Sans" w:hAnsi="Quattrocento Sans" w:cs="Quattrocento Sans"/>
        <w:noProof/>
      </w:rPr>
      <w:t>3</w:t>
    </w:r>
    <w:r w:rsidR="00C6520D" w:rsidRPr="003006D6">
      <w:rPr>
        <w:rFonts w:ascii="Quattrocento Sans" w:eastAsia="Quattrocento Sans" w:hAnsi="Quattrocento Sans" w:cs="Quattrocento Sans"/>
      </w:rPr>
      <w:fldChar w:fldCharType="end"/>
    </w:r>
  </w:p>
  <w:p w14:paraId="2CAF3221" w14:textId="77777777" w:rsidR="00A97C24" w:rsidRDefault="00A97C24">
    <w:pPr>
      <w:pBdr>
        <w:top w:val="single" w:sz="18" w:space="1" w:color="20A3A0"/>
        <w:left w:val="nil"/>
        <w:bottom w:val="nil"/>
        <w:right w:val="nil"/>
        <w:between w:val="nil"/>
      </w:pBdr>
      <w:tabs>
        <w:tab w:val="center" w:pos="4513"/>
        <w:tab w:val="right" w:pos="9026"/>
      </w:tabs>
      <w:spacing w:after="0"/>
      <w:jc w:val="center"/>
      <w:rPr>
        <w:color w:val="000000"/>
        <w:sz w:val="2"/>
        <w:szCs w:val="2"/>
      </w:rPr>
    </w:pPr>
  </w:p>
  <w:p w14:paraId="5822DC33" w14:textId="77777777" w:rsidR="00A97C24" w:rsidRDefault="00A97C24">
    <w:pPr>
      <w:pBdr>
        <w:top w:val="single" w:sz="18" w:space="1" w:color="20A3A0"/>
        <w:left w:val="nil"/>
        <w:bottom w:val="nil"/>
        <w:right w:val="nil"/>
        <w:between w:val="nil"/>
      </w:pBdr>
      <w:tabs>
        <w:tab w:val="center" w:pos="4513"/>
        <w:tab w:val="right" w:pos="9026"/>
      </w:tabs>
      <w:spacing w:after="0"/>
      <w:rPr>
        <w:color w:val="000000"/>
        <w:sz w:val="2"/>
        <w:szCs w:val="2"/>
      </w:rPr>
    </w:pPr>
  </w:p>
  <w:p w14:paraId="4C6683EB" w14:textId="77777777" w:rsidR="00A97C24" w:rsidRDefault="00A97C24">
    <w:pPr>
      <w:pBdr>
        <w:top w:val="single" w:sz="18" w:space="1" w:color="20A3A0"/>
        <w:left w:val="nil"/>
        <w:bottom w:val="nil"/>
        <w:right w:val="nil"/>
        <w:between w:val="nil"/>
      </w:pBdr>
      <w:tabs>
        <w:tab w:val="center" w:pos="4513"/>
        <w:tab w:val="right" w:pos="9026"/>
      </w:tabs>
      <w:spacing w:after="0"/>
      <w:jc w:val="center"/>
      <w:rPr>
        <w:color w:val="000000"/>
        <w:sz w:val="2"/>
        <w:szCs w:val="2"/>
      </w:rPr>
    </w:pPr>
  </w:p>
  <w:p w14:paraId="13DF9DB9" w14:textId="77777777" w:rsidR="00A97C24" w:rsidRDefault="00000000">
    <w:pPr>
      <w:pBdr>
        <w:top w:val="single" w:sz="18" w:space="1" w:color="20A3A0"/>
        <w:left w:val="nil"/>
        <w:bottom w:val="nil"/>
        <w:right w:val="nil"/>
        <w:between w:val="nil"/>
      </w:pBdr>
      <w:tabs>
        <w:tab w:val="left" w:pos="2666"/>
        <w:tab w:val="center" w:pos="4513"/>
        <w:tab w:val="right" w:pos="9026"/>
      </w:tabs>
      <w:spacing w:after="0"/>
      <w:rPr>
        <w:color w:val="000000"/>
        <w:sz w:val="2"/>
        <w:szCs w:val="2"/>
      </w:rPr>
    </w:pPr>
    <w:r>
      <w:rPr>
        <w:color w:val="000000"/>
        <w:sz w:val="2"/>
        <w:szCs w:val="2"/>
      </w:rPr>
      <w:tab/>
    </w:r>
    <w:r>
      <w:rPr>
        <w:color w:val="000000"/>
        <w:sz w:val="2"/>
        <w:szCs w:val="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89838" w14:textId="3155C661" w:rsidR="00A97C24" w:rsidRDefault="00000000" w:rsidP="00A62182">
    <w:pPr>
      <w:pBdr>
        <w:top w:val="single" w:sz="18" w:space="1" w:color="20A3A0"/>
        <w:left w:val="nil"/>
        <w:bottom w:val="nil"/>
        <w:right w:val="nil"/>
        <w:between w:val="nil"/>
      </w:pBdr>
      <w:tabs>
        <w:tab w:val="center" w:pos="4513"/>
        <w:tab w:val="right" w:pos="9026"/>
      </w:tabs>
      <w:spacing w:after="0"/>
      <w:jc w:val="both"/>
      <w:rPr>
        <w:color w:val="000000"/>
        <w:sz w:val="16"/>
        <w:szCs w:val="16"/>
      </w:rPr>
    </w:pPr>
    <w:r>
      <w:rPr>
        <w:color w:val="000000"/>
        <w:sz w:val="16"/>
        <w:szCs w:val="16"/>
      </w:rPr>
      <w:t>© 202</w:t>
    </w:r>
    <w:r w:rsidR="00C6520D">
      <w:rPr>
        <w:color w:val="000000"/>
        <w:sz w:val="16"/>
        <w:szCs w:val="16"/>
      </w:rPr>
      <w:t>6</w:t>
    </w:r>
    <w:r>
      <w:rPr>
        <w:color w:val="000000"/>
        <w:sz w:val="16"/>
        <w:szCs w:val="16"/>
      </w:rPr>
      <w:t xml:space="preserve"> The Author(s). Published by</w:t>
    </w:r>
    <w:r w:rsidR="00042345">
      <w:rPr>
        <w:color w:val="000000"/>
        <w:sz w:val="16"/>
        <w:szCs w:val="16"/>
      </w:rPr>
      <w:t xml:space="preserve"> CV. Branded Tech Indonesia </w:t>
    </w:r>
    <w:r w:rsidR="00A62182" w:rsidRPr="00A62182">
      <w:rPr>
        <w:color w:val="000000"/>
        <w:sz w:val="16"/>
        <w:szCs w:val="16"/>
      </w:rPr>
      <w:t xml:space="preserve">in Collaboration with </w:t>
    </w:r>
    <w:proofErr w:type="spellStart"/>
    <w:r w:rsidR="00C6520D" w:rsidRPr="00A62182">
      <w:rPr>
        <w:i/>
        <w:iCs/>
        <w:color w:val="000000"/>
        <w:sz w:val="16"/>
        <w:szCs w:val="16"/>
      </w:rPr>
      <w:t>Asosiasi</w:t>
    </w:r>
    <w:proofErr w:type="spellEnd"/>
    <w:r w:rsidR="00C6520D" w:rsidRPr="00A62182">
      <w:rPr>
        <w:i/>
        <w:iCs/>
        <w:color w:val="000000"/>
        <w:sz w:val="16"/>
        <w:szCs w:val="16"/>
      </w:rPr>
      <w:t xml:space="preserve"> Program </w:t>
    </w:r>
    <w:proofErr w:type="spellStart"/>
    <w:r w:rsidR="00C6520D" w:rsidRPr="00A62182">
      <w:rPr>
        <w:i/>
        <w:iCs/>
        <w:color w:val="000000"/>
        <w:sz w:val="16"/>
        <w:szCs w:val="16"/>
      </w:rPr>
      <w:t>Studi</w:t>
    </w:r>
    <w:proofErr w:type="spellEnd"/>
    <w:r w:rsidR="00C6520D" w:rsidRPr="00A62182">
      <w:rPr>
        <w:i/>
        <w:iCs/>
        <w:color w:val="000000"/>
        <w:sz w:val="16"/>
        <w:szCs w:val="16"/>
      </w:rPr>
      <w:t xml:space="preserve"> </w:t>
    </w:r>
    <w:proofErr w:type="spellStart"/>
    <w:r w:rsidR="00C6520D" w:rsidRPr="00A62182">
      <w:rPr>
        <w:i/>
        <w:iCs/>
        <w:color w:val="000000"/>
        <w:sz w:val="16"/>
        <w:szCs w:val="16"/>
      </w:rPr>
      <w:t>Keuangan</w:t>
    </w:r>
    <w:proofErr w:type="spellEnd"/>
    <w:r w:rsidR="00C6520D" w:rsidRPr="00A62182">
      <w:rPr>
        <w:i/>
        <w:iCs/>
        <w:color w:val="000000"/>
        <w:sz w:val="16"/>
        <w:szCs w:val="16"/>
      </w:rPr>
      <w:t xml:space="preserve"> Dan Perbankan Syariah Indonesia</w:t>
    </w:r>
    <w:r w:rsidRPr="00A62182">
      <w:rPr>
        <w:i/>
        <w:iCs/>
        <w:color w:val="000000"/>
        <w:sz w:val="16"/>
        <w:szCs w:val="16"/>
      </w:rPr>
      <w:t>.</w:t>
    </w:r>
    <w:r>
      <w:rPr>
        <w:color w:val="000000"/>
        <w:sz w:val="16"/>
        <w:szCs w:val="16"/>
      </w:rPr>
      <w:t xml:space="preserve"> This is an open access article under the CC BY-SA license (</w:t>
    </w:r>
    <w:hyperlink r:id="rId1">
      <w:r w:rsidR="00A97C24">
        <w:rPr>
          <w:color w:val="0563C1"/>
          <w:sz w:val="16"/>
          <w:szCs w:val="16"/>
          <w:u w:val="single"/>
        </w:rPr>
        <w:t>https://creativecommons.org/licenses/by-sa/4.0/</w:t>
      </w:r>
    </w:hyperlink>
    <w:r>
      <w:rPr>
        <w:color w:val="000000"/>
        <w:sz w:val="16"/>
        <w:szCs w:val="16"/>
      </w:rPr>
      <w:t xml:space="preserve"> </w:t>
    </w:r>
    <w:r>
      <w:rPr>
        <w:sz w:val="16"/>
        <w:szCs w:val="16"/>
      </w:rPr>
      <w:t>which permits use and distribution in any medium, provided the original work is properly cited, the use is non-commercial, and no modifications or adaptations are made.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C31DC" w14:textId="77777777" w:rsidR="00D03879" w:rsidRDefault="00D03879">
      <w:pPr>
        <w:spacing w:after="0"/>
      </w:pPr>
      <w:r>
        <w:separator/>
      </w:r>
    </w:p>
  </w:footnote>
  <w:footnote w:type="continuationSeparator" w:id="0">
    <w:p w14:paraId="67ABD70C" w14:textId="77777777" w:rsidR="00D03879" w:rsidRDefault="00D0387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B4727" w14:textId="77777777" w:rsidR="0001251E" w:rsidRDefault="0001251E" w:rsidP="0001251E">
    <w:pPr>
      <w:pBdr>
        <w:top w:val="nil"/>
        <w:left w:val="nil"/>
        <w:bottom w:val="single" w:sz="18" w:space="1" w:color="20A3A0"/>
        <w:right w:val="nil"/>
        <w:between w:val="nil"/>
      </w:pBdr>
      <w:tabs>
        <w:tab w:val="center" w:pos="4513"/>
        <w:tab w:val="right" w:pos="9026"/>
      </w:tabs>
      <w:spacing w:after="0"/>
      <w:jc w:val="both"/>
      <w:rPr>
        <w:color w:val="000000"/>
        <w:sz w:val="16"/>
        <w:szCs w:val="16"/>
      </w:rPr>
    </w:pPr>
  </w:p>
  <w:p w14:paraId="335B7AD9" w14:textId="7DD46352" w:rsidR="00A97C24" w:rsidRPr="0001251E" w:rsidRDefault="0001251E" w:rsidP="0001251E">
    <w:pPr>
      <w:pBdr>
        <w:top w:val="nil"/>
        <w:left w:val="nil"/>
        <w:bottom w:val="single" w:sz="18" w:space="1" w:color="20A3A0"/>
        <w:right w:val="nil"/>
        <w:between w:val="nil"/>
      </w:pBdr>
      <w:tabs>
        <w:tab w:val="center" w:pos="4513"/>
        <w:tab w:val="right" w:pos="9026"/>
      </w:tabs>
      <w:spacing w:after="0"/>
      <w:jc w:val="both"/>
      <w:rPr>
        <w:color w:val="000000"/>
        <w:sz w:val="16"/>
        <w:szCs w:val="16"/>
      </w:rPr>
    </w:pPr>
    <w:r w:rsidRPr="007052BA">
      <w:rPr>
        <w:color w:val="000000"/>
        <w:sz w:val="16"/>
        <w:szCs w:val="16"/>
      </w:rPr>
      <w:t>Islamic Finance and Sustainable Halal Startups</w:t>
    </w:r>
    <w:r>
      <w:rPr>
        <w:color w:val="000000"/>
        <w:sz w:val="16"/>
        <w:szCs w:val="16"/>
      </w:rPr>
      <w:t xml:space="preserve"> . . .                 </w:t>
    </w:r>
    <w:r>
      <w:rPr>
        <w:b/>
        <w:bCs/>
        <w:color w:val="20A3A0"/>
        <w:sz w:val="16"/>
        <w:szCs w:val="16"/>
      </w:rPr>
      <w:t xml:space="preserve">          </w:t>
    </w:r>
    <w:r>
      <w:rPr>
        <w:b/>
        <w:bCs/>
        <w:color w:val="20A3A0"/>
        <w:sz w:val="16"/>
        <w:szCs w:val="16"/>
      </w:rPr>
      <w:tab/>
      <w:t xml:space="preserve">  </w:t>
    </w:r>
    <w:r>
      <w:rPr>
        <w:color w:val="000000"/>
        <w:sz w:val="16"/>
        <w:szCs w:val="16"/>
      </w:rPr>
      <w:t xml:space="preserve"> </w:t>
    </w:r>
    <w:proofErr w:type="spellStart"/>
    <w:r>
      <w:rPr>
        <w:b/>
        <w:bCs/>
        <w:color w:val="20A3A0"/>
        <w:sz w:val="16"/>
        <w:szCs w:val="16"/>
      </w:rPr>
      <w:t>Bakhri</w:t>
    </w:r>
    <w:proofErr w:type="spellEnd"/>
    <w:r>
      <w:rPr>
        <w:b/>
        <w:bCs/>
        <w:color w:val="20A3A0"/>
        <w:sz w:val="16"/>
        <w:szCs w:val="16"/>
      </w:rPr>
      <w:t xml:space="preserve">, </w:t>
    </w:r>
    <w:r w:rsidRPr="0001251E">
      <w:rPr>
        <w:b/>
        <w:bCs/>
        <w:i/>
        <w:iCs/>
        <w:color w:val="20A3A0"/>
        <w:sz w:val="16"/>
        <w:szCs w:val="16"/>
      </w:rPr>
      <w:t>et.al</w:t>
    </w:r>
    <w:r>
      <w:rPr>
        <w:color w:val="000000"/>
        <w:sz w:val="16"/>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18D47" w14:textId="025F9852" w:rsidR="00A97C24" w:rsidRDefault="00A97C24">
    <w:pPr>
      <w:pBdr>
        <w:top w:val="nil"/>
        <w:left w:val="nil"/>
        <w:bottom w:val="single" w:sz="18" w:space="1" w:color="20A3A0"/>
        <w:right w:val="nil"/>
        <w:between w:val="nil"/>
      </w:pBdr>
      <w:tabs>
        <w:tab w:val="center" w:pos="4513"/>
        <w:tab w:val="right" w:pos="9026"/>
      </w:tabs>
      <w:spacing w:after="0"/>
      <w:jc w:val="both"/>
      <w:rPr>
        <w:color w:val="000000"/>
        <w:sz w:val="16"/>
        <w:szCs w:val="16"/>
      </w:rPr>
    </w:pPr>
  </w:p>
  <w:p w14:paraId="0ED5894E" w14:textId="77777777" w:rsidR="00A97C24" w:rsidRDefault="00A97C24">
    <w:pPr>
      <w:pBdr>
        <w:top w:val="nil"/>
        <w:left w:val="nil"/>
        <w:bottom w:val="single" w:sz="18" w:space="1" w:color="20A3A0"/>
        <w:right w:val="nil"/>
        <w:between w:val="nil"/>
      </w:pBdr>
      <w:tabs>
        <w:tab w:val="center" w:pos="4513"/>
        <w:tab w:val="right" w:pos="9026"/>
      </w:tabs>
      <w:spacing w:after="0"/>
      <w:jc w:val="both"/>
      <w:rPr>
        <w:color w:val="000000"/>
        <w:sz w:val="16"/>
        <w:szCs w:val="16"/>
      </w:rPr>
    </w:pPr>
  </w:p>
  <w:p w14:paraId="310124C4" w14:textId="4927A74C" w:rsidR="00A97C24" w:rsidRDefault="007052BA">
    <w:pPr>
      <w:pBdr>
        <w:top w:val="nil"/>
        <w:left w:val="nil"/>
        <w:bottom w:val="single" w:sz="18" w:space="1" w:color="20A3A0"/>
        <w:right w:val="nil"/>
        <w:between w:val="nil"/>
      </w:pBdr>
      <w:tabs>
        <w:tab w:val="center" w:pos="4513"/>
        <w:tab w:val="right" w:pos="9026"/>
      </w:tabs>
      <w:spacing w:after="0"/>
      <w:jc w:val="both"/>
      <w:rPr>
        <w:color w:val="000000"/>
        <w:sz w:val="16"/>
        <w:szCs w:val="16"/>
      </w:rPr>
    </w:pPr>
    <w:r w:rsidRPr="007052BA">
      <w:rPr>
        <w:color w:val="000000"/>
        <w:sz w:val="16"/>
        <w:szCs w:val="16"/>
      </w:rPr>
      <w:t>Islamic Finance and Sustainable Halal Startups</w:t>
    </w:r>
    <w:r>
      <w:rPr>
        <w:color w:val="000000"/>
        <w:sz w:val="16"/>
        <w:szCs w:val="16"/>
      </w:rPr>
      <w:t xml:space="preserve"> . . .                 </w:t>
    </w:r>
    <w:r>
      <w:rPr>
        <w:b/>
        <w:bCs/>
        <w:color w:val="20A3A0"/>
        <w:sz w:val="16"/>
        <w:szCs w:val="16"/>
      </w:rPr>
      <w:t xml:space="preserve">          </w:t>
    </w:r>
    <w:r>
      <w:rPr>
        <w:b/>
        <w:bCs/>
        <w:color w:val="20A3A0"/>
        <w:sz w:val="16"/>
        <w:szCs w:val="16"/>
      </w:rPr>
      <w:tab/>
      <w:t xml:space="preserve">  </w:t>
    </w:r>
    <w:r>
      <w:rPr>
        <w:color w:val="000000"/>
        <w:sz w:val="16"/>
        <w:szCs w:val="16"/>
      </w:rPr>
      <w:t xml:space="preserve"> </w:t>
    </w:r>
    <w:proofErr w:type="spellStart"/>
    <w:r>
      <w:rPr>
        <w:b/>
        <w:bCs/>
        <w:color w:val="20A3A0"/>
        <w:sz w:val="16"/>
        <w:szCs w:val="16"/>
      </w:rPr>
      <w:t>Bakhri</w:t>
    </w:r>
    <w:proofErr w:type="spellEnd"/>
    <w:r w:rsidR="0001251E">
      <w:rPr>
        <w:b/>
        <w:bCs/>
        <w:color w:val="20A3A0"/>
        <w:sz w:val="16"/>
        <w:szCs w:val="16"/>
      </w:rPr>
      <w:t xml:space="preserve">, </w:t>
    </w:r>
    <w:r w:rsidR="0001251E" w:rsidRPr="0001251E">
      <w:rPr>
        <w:b/>
        <w:bCs/>
        <w:i/>
        <w:iCs/>
        <w:color w:val="20A3A0"/>
        <w:sz w:val="16"/>
        <w:szCs w:val="16"/>
      </w:rPr>
      <w:t>et.al</w:t>
    </w:r>
    <w:r>
      <w:rPr>
        <w:color w:val="000000"/>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79494" w14:textId="08539E5C" w:rsidR="000622D8" w:rsidRDefault="00042345">
    <w:pPr>
      <w:pBdr>
        <w:top w:val="nil"/>
        <w:left w:val="nil"/>
        <w:bottom w:val="nil"/>
        <w:right w:val="nil"/>
        <w:between w:val="nil"/>
      </w:pBdr>
      <w:tabs>
        <w:tab w:val="right" w:pos="9026"/>
      </w:tabs>
      <w:spacing w:after="0"/>
      <w:rPr>
        <w:color w:val="000000"/>
        <w:sz w:val="16"/>
        <w:szCs w:val="16"/>
      </w:rPr>
    </w:pPr>
    <w:r>
      <w:rPr>
        <w:noProof/>
      </w:rPr>
      <w:drawing>
        <wp:anchor distT="0" distB="0" distL="0" distR="0" simplePos="0" relativeHeight="251658240" behindDoc="1" locked="0" layoutInCell="1" hidden="0" allowOverlap="1" wp14:anchorId="5CE55CAC" wp14:editId="4B0505A9">
          <wp:simplePos x="0" y="0"/>
          <wp:positionH relativeFrom="column">
            <wp:posOffset>-3483610</wp:posOffset>
          </wp:positionH>
          <wp:positionV relativeFrom="paragraph">
            <wp:posOffset>-353060</wp:posOffset>
          </wp:positionV>
          <wp:extent cx="10109835" cy="1093470"/>
          <wp:effectExtent l="0" t="0" r="5715" b="0"/>
          <wp:wrapNone/>
          <wp:docPr id="169799169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0109835" cy="1093470"/>
                  </a:xfrm>
                  <a:prstGeom prst="rect">
                    <a:avLst/>
                  </a:prstGeom>
                  <a:ln/>
                </pic:spPr>
              </pic:pic>
            </a:graphicData>
          </a:graphic>
        </wp:anchor>
      </w:drawing>
    </w:r>
    <w:r w:rsidR="00C6520D">
      <w:rPr>
        <w:noProof/>
      </w:rPr>
      <w:drawing>
        <wp:anchor distT="0" distB="0" distL="114300" distR="114300" simplePos="0" relativeHeight="251662336" behindDoc="0" locked="0" layoutInCell="1" allowOverlap="1" wp14:anchorId="1B3CFEFA" wp14:editId="0E0E7D30">
          <wp:simplePos x="0" y="0"/>
          <wp:positionH relativeFrom="page">
            <wp:align>left</wp:align>
          </wp:positionH>
          <wp:positionV relativeFrom="paragraph">
            <wp:posOffset>-450215</wp:posOffset>
          </wp:positionV>
          <wp:extent cx="2599055" cy="933450"/>
          <wp:effectExtent l="0" t="0" r="0" b="0"/>
          <wp:wrapSquare wrapText="bothSides"/>
          <wp:docPr id="794887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99055" cy="933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520D">
      <w:rPr>
        <w:color w:val="000000"/>
        <w:sz w:val="16"/>
        <w:szCs w:val="16"/>
      </w:rPr>
      <w:tab/>
    </w:r>
    <w:r>
      <w:rPr>
        <w:color w:val="000000"/>
        <w:sz w:val="16"/>
        <w:szCs w:val="16"/>
      </w:rPr>
      <w:t>17-1</w:t>
    </w:r>
    <w:r w:rsidR="00294CF9">
      <w:rPr>
        <w:color w:val="000000"/>
        <w:sz w:val="16"/>
        <w:szCs w:val="16"/>
      </w:rPr>
      <w:t>8</w:t>
    </w:r>
    <w:r>
      <w:rPr>
        <w:color w:val="000000"/>
        <w:sz w:val="16"/>
        <w:szCs w:val="16"/>
      </w:rPr>
      <w:t xml:space="preserve"> September 2026</w:t>
    </w:r>
  </w:p>
  <w:p w14:paraId="6864951F" w14:textId="77896962" w:rsidR="00A97C24" w:rsidRDefault="00042345" w:rsidP="00042345">
    <w:pPr>
      <w:pBdr>
        <w:top w:val="nil"/>
        <w:left w:val="nil"/>
        <w:bottom w:val="nil"/>
        <w:right w:val="nil"/>
        <w:between w:val="nil"/>
      </w:pBdr>
      <w:tabs>
        <w:tab w:val="left" w:pos="1600"/>
      </w:tabs>
      <w:spacing w:after="0"/>
      <w:rPr>
        <w:color w:val="000000"/>
        <w:sz w:val="16"/>
        <w:szCs w:val="16"/>
      </w:rPr>
    </w:pPr>
    <w:r>
      <w:rPr>
        <w:color w:val="000000"/>
        <w:sz w:val="16"/>
        <w:szCs w:val="16"/>
      </w:rPr>
      <w:tab/>
    </w:r>
  </w:p>
  <w:tbl>
    <w:tblPr>
      <w:tblStyle w:val="a8"/>
      <w:tblW w:w="9061" w:type="dxa"/>
      <w:tblBorders>
        <w:top w:val="nil"/>
        <w:left w:val="nil"/>
        <w:bottom w:val="nil"/>
        <w:right w:val="nil"/>
        <w:insideH w:val="nil"/>
        <w:insideV w:val="nil"/>
      </w:tblBorders>
      <w:tblLayout w:type="fixed"/>
      <w:tblLook w:val="0400" w:firstRow="0" w:lastRow="0" w:firstColumn="0" w:lastColumn="0" w:noHBand="0" w:noVBand="1"/>
    </w:tblPr>
    <w:tblGrid>
      <w:gridCol w:w="4678"/>
      <w:gridCol w:w="4383"/>
    </w:tblGrid>
    <w:tr w:rsidR="00A97C24" w14:paraId="349F12AD" w14:textId="77777777">
      <w:tc>
        <w:tcPr>
          <w:tcW w:w="4678" w:type="dxa"/>
          <w:tcBorders>
            <w:right w:val="single" w:sz="4" w:space="0" w:color="20A3A0"/>
          </w:tcBorders>
          <w:shd w:val="clear" w:color="auto" w:fill="20A3A0"/>
        </w:tcPr>
        <w:p w14:paraId="75B9C018" w14:textId="77777777" w:rsidR="00A97C24" w:rsidRDefault="00000000">
          <w:pPr>
            <w:pBdr>
              <w:top w:val="nil"/>
              <w:left w:val="nil"/>
              <w:bottom w:val="nil"/>
              <w:right w:val="nil"/>
              <w:between w:val="nil"/>
            </w:pBdr>
            <w:tabs>
              <w:tab w:val="center" w:pos="4513"/>
              <w:tab w:val="right" w:pos="9026"/>
            </w:tabs>
            <w:rPr>
              <w:rFonts w:ascii="Arial Narrow" w:eastAsia="Arial Narrow" w:hAnsi="Arial Narrow" w:cs="Arial Narrow"/>
              <w:b/>
              <w:bCs/>
              <w:color w:val="000000"/>
              <w:sz w:val="26"/>
              <w:szCs w:val="26"/>
            </w:rPr>
          </w:pPr>
          <w:r>
            <w:rPr>
              <w:rFonts w:ascii="Arial Narrow" w:eastAsia="Arial Narrow" w:hAnsi="Arial Narrow" w:cs="Arial Narrow"/>
              <w:b/>
              <w:bCs/>
              <w:color w:val="FFFFFF"/>
              <w:sz w:val="26"/>
              <w:szCs w:val="26"/>
            </w:rPr>
            <w:t>Research Article</w:t>
          </w:r>
        </w:p>
      </w:tc>
      <w:tc>
        <w:tcPr>
          <w:tcW w:w="4383" w:type="dxa"/>
          <w:tcBorders>
            <w:top w:val="single" w:sz="4" w:space="0" w:color="20A3A0"/>
            <w:left w:val="single" w:sz="4" w:space="0" w:color="20A3A0"/>
            <w:bottom w:val="single" w:sz="4" w:space="0" w:color="20A3A0"/>
            <w:right w:val="single" w:sz="4" w:space="0" w:color="20A3A0"/>
          </w:tcBorders>
          <w:shd w:val="clear" w:color="auto" w:fill="FFFFFF"/>
        </w:tcPr>
        <w:p w14:paraId="720B3FE4" w14:textId="25EC270B" w:rsidR="00A97C24" w:rsidRDefault="00864D8E">
          <w:pPr>
            <w:pBdr>
              <w:top w:val="nil"/>
              <w:left w:val="nil"/>
              <w:bottom w:val="nil"/>
              <w:right w:val="nil"/>
              <w:between w:val="nil"/>
            </w:pBdr>
            <w:tabs>
              <w:tab w:val="center" w:pos="4513"/>
              <w:tab w:val="right" w:pos="9026"/>
            </w:tabs>
            <w:jc w:val="right"/>
            <w:rPr>
              <w:b/>
              <w:bCs/>
              <w:color w:val="20A3A0"/>
              <w:sz w:val="26"/>
              <w:szCs w:val="26"/>
            </w:rPr>
          </w:pPr>
          <w:proofErr w:type="spellStart"/>
          <w:r>
            <w:rPr>
              <w:rFonts w:ascii="Arial Narrow" w:eastAsia="Arial Narrow" w:hAnsi="Arial Narrow" w:cs="Arial Narrow"/>
              <w:b/>
              <w:bCs/>
              <w:color w:val="20A3A0"/>
              <w:sz w:val="26"/>
              <w:szCs w:val="26"/>
            </w:rPr>
            <w:t>Bakhri</w:t>
          </w:r>
          <w:proofErr w:type="spellEnd"/>
          <w:r w:rsidR="00042345">
            <w:rPr>
              <w:rFonts w:ascii="Arial Narrow" w:eastAsia="Arial Narrow" w:hAnsi="Arial Narrow" w:cs="Arial Narrow"/>
              <w:b/>
              <w:bCs/>
              <w:color w:val="20A3A0"/>
              <w:sz w:val="26"/>
              <w:szCs w:val="26"/>
            </w:rPr>
            <w:t>., et al</w:t>
          </w:r>
          <w:r w:rsidR="00042345">
            <w:rPr>
              <w:b/>
              <w:bCs/>
              <w:color w:val="20A3A0"/>
              <w:sz w:val="26"/>
              <w:szCs w:val="26"/>
            </w:rPr>
            <w:t>.</w:t>
          </w:r>
        </w:p>
      </w:tc>
    </w:tr>
  </w:tbl>
  <w:p w14:paraId="559C52A2" w14:textId="77777777" w:rsidR="00A97C24" w:rsidRDefault="00A97C24">
    <w:pPr>
      <w:pBdr>
        <w:top w:val="nil"/>
        <w:left w:val="nil"/>
        <w:bottom w:val="nil"/>
        <w:right w:val="nil"/>
        <w:between w:val="nil"/>
      </w:pBdr>
      <w:tabs>
        <w:tab w:val="center" w:pos="4513"/>
        <w:tab w:val="right" w:pos="9026"/>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4FF"/>
    <w:multiLevelType w:val="multilevel"/>
    <w:tmpl w:val="4AC4D6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354853"/>
    <w:multiLevelType w:val="multilevel"/>
    <w:tmpl w:val="8C4235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1A44831"/>
    <w:multiLevelType w:val="multilevel"/>
    <w:tmpl w:val="61C889F2"/>
    <w:lvl w:ilvl="0">
      <w:start w:val="1"/>
      <w:numFmt w:val="decimal"/>
      <w:lvlText w:val="%1."/>
      <w:lvlJc w:val="left"/>
      <w:pPr>
        <w:ind w:left="720" w:hanging="360"/>
      </w:pPr>
      <w:rPr>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92786D"/>
    <w:multiLevelType w:val="multilevel"/>
    <w:tmpl w:val="A5B81BC4"/>
    <w:lvl w:ilvl="0">
      <w:start w:val="1"/>
      <w:numFmt w:val="decimal"/>
      <w:lvlText w:val="%1."/>
      <w:lvlJc w:val="left"/>
      <w:pPr>
        <w:ind w:left="1287" w:hanging="360"/>
      </w:pPr>
      <w:rPr>
        <w:b w:val="0"/>
        <w:bCs w:val="0"/>
        <w:color w:val="000000"/>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 w15:restartNumberingAfterBreak="0">
    <w:nsid w:val="2A9004D2"/>
    <w:multiLevelType w:val="multilevel"/>
    <w:tmpl w:val="4D063DC4"/>
    <w:lvl w:ilvl="0">
      <w:start w:val="1"/>
      <w:numFmt w:val="lowerLetter"/>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 w15:restartNumberingAfterBreak="0">
    <w:nsid w:val="44617D9E"/>
    <w:multiLevelType w:val="multilevel"/>
    <w:tmpl w:val="B7DC0FD8"/>
    <w:lvl w:ilvl="0">
      <w:start w:val="1"/>
      <w:numFmt w:val="decimal"/>
      <w:pStyle w:val="Heading1"/>
      <w:lvlText w:val="2.%1."/>
      <w:lvlJc w:val="left"/>
      <w:pPr>
        <w:ind w:left="720" w:hanging="360"/>
      </w:pPr>
      <w:rPr>
        <w:b/>
        <w:bCs/>
        <w:color w:val="20A3A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7D0027A"/>
    <w:multiLevelType w:val="multilevel"/>
    <w:tmpl w:val="6E066B5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5C7F3100"/>
    <w:multiLevelType w:val="multilevel"/>
    <w:tmpl w:val="F6629CC8"/>
    <w:lvl w:ilvl="0">
      <w:start w:val="1"/>
      <w:numFmt w:val="decimal"/>
      <w:lvlText w:val="%1."/>
      <w:lvlJc w:val="left"/>
      <w:pPr>
        <w:ind w:left="720" w:hanging="360"/>
      </w:pPr>
      <w:rPr>
        <w:i w:val="0"/>
        <w:iCs w:val="0"/>
      </w:rPr>
    </w:lvl>
    <w:lvl w:ilvl="1">
      <w:start w:val="1"/>
      <w:numFmt w:val="decimal"/>
      <w:lvlText w:val="%1.%2."/>
      <w:lvlJc w:val="left"/>
      <w:pPr>
        <w:ind w:left="720" w:hanging="360"/>
      </w:pPr>
      <w:rPr>
        <w:b/>
        <w:bCs/>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69A479B2"/>
    <w:multiLevelType w:val="multilevel"/>
    <w:tmpl w:val="FA38BA68"/>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9" w15:restartNumberingAfterBreak="0">
    <w:nsid w:val="785E0238"/>
    <w:multiLevelType w:val="multilevel"/>
    <w:tmpl w:val="7690F8E8"/>
    <w:lvl w:ilvl="0">
      <w:start w:val="1"/>
      <w:numFmt w:val="decimal"/>
      <w:lvlText w:val="2.2.%1."/>
      <w:lvlJc w:val="left"/>
      <w:pPr>
        <w:ind w:left="720" w:hanging="360"/>
      </w:pPr>
      <w:rPr>
        <w:b/>
        <w:bCs/>
        <w:color w:val="20A3A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71073099">
    <w:abstractNumId w:val="1"/>
  </w:num>
  <w:num w:numId="2" w16cid:durableId="1503471519">
    <w:abstractNumId w:val="5"/>
  </w:num>
  <w:num w:numId="3" w16cid:durableId="1337802047">
    <w:abstractNumId w:val="4"/>
  </w:num>
  <w:num w:numId="4" w16cid:durableId="284241609">
    <w:abstractNumId w:val="8"/>
  </w:num>
  <w:num w:numId="5" w16cid:durableId="578170513">
    <w:abstractNumId w:val="7"/>
  </w:num>
  <w:num w:numId="6" w16cid:durableId="478155573">
    <w:abstractNumId w:val="9"/>
  </w:num>
  <w:num w:numId="7" w16cid:durableId="1867907108">
    <w:abstractNumId w:val="2"/>
  </w:num>
  <w:num w:numId="8" w16cid:durableId="1151017512">
    <w:abstractNumId w:val="3"/>
  </w:num>
  <w:num w:numId="9" w16cid:durableId="2018188577">
    <w:abstractNumId w:val="6"/>
  </w:num>
  <w:num w:numId="10" w16cid:durableId="577979584">
    <w:abstractNumId w:val="0"/>
  </w:num>
  <w:num w:numId="11" w16cid:durableId="1335691322">
    <w:abstractNumId w:val="5"/>
  </w:num>
  <w:num w:numId="12" w16cid:durableId="2106462186">
    <w:abstractNumId w:val="5"/>
  </w:num>
  <w:num w:numId="13" w16cid:durableId="599601621">
    <w:abstractNumId w:val="5"/>
  </w:num>
  <w:num w:numId="14" w16cid:durableId="1245726113">
    <w:abstractNumId w:val="5"/>
  </w:num>
  <w:num w:numId="15" w16cid:durableId="1196432004">
    <w:abstractNumId w:val="5"/>
  </w:num>
  <w:num w:numId="16" w16cid:durableId="1466585354">
    <w:abstractNumId w:val="5"/>
  </w:num>
  <w:num w:numId="17" w16cid:durableId="1703896317">
    <w:abstractNumId w:val="5"/>
  </w:num>
  <w:num w:numId="18" w16cid:durableId="363481663">
    <w:abstractNumId w:val="5"/>
  </w:num>
  <w:num w:numId="19" w16cid:durableId="20316845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C24"/>
    <w:rsid w:val="0001251E"/>
    <w:rsid w:val="00042345"/>
    <w:rsid w:val="000622D8"/>
    <w:rsid w:val="000A5AEB"/>
    <w:rsid w:val="00160869"/>
    <w:rsid w:val="002276CD"/>
    <w:rsid w:val="00294CF9"/>
    <w:rsid w:val="003006D6"/>
    <w:rsid w:val="004B1981"/>
    <w:rsid w:val="004F602A"/>
    <w:rsid w:val="00554090"/>
    <w:rsid w:val="0056136E"/>
    <w:rsid w:val="0057060F"/>
    <w:rsid w:val="005C0F17"/>
    <w:rsid w:val="007052BA"/>
    <w:rsid w:val="007612FB"/>
    <w:rsid w:val="008153ED"/>
    <w:rsid w:val="00824AC6"/>
    <w:rsid w:val="00841525"/>
    <w:rsid w:val="00864D8E"/>
    <w:rsid w:val="00911F70"/>
    <w:rsid w:val="00A508EB"/>
    <w:rsid w:val="00A56996"/>
    <w:rsid w:val="00A62182"/>
    <w:rsid w:val="00A97C24"/>
    <w:rsid w:val="00AC6EC5"/>
    <w:rsid w:val="00B66C03"/>
    <w:rsid w:val="00BF7945"/>
    <w:rsid w:val="00C6520D"/>
    <w:rsid w:val="00C969AA"/>
    <w:rsid w:val="00D03879"/>
    <w:rsid w:val="00E32990"/>
    <w:rsid w:val="00E36370"/>
    <w:rsid w:val="00EB6EC5"/>
    <w:rsid w:val="00F57F77"/>
    <w:rsid w:val="00F73A3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E491F"/>
  <w15:docId w15:val="{EF3C82ED-6536-4962-8CCE-05338E035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ID" w:eastAsia="en-ID"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51E"/>
    <w:rPr>
      <w:color w:val="000000" w:themeColor="text1"/>
    </w:rPr>
  </w:style>
  <w:style w:type="paragraph" w:styleId="Heading1">
    <w:name w:val="heading 1"/>
    <w:basedOn w:val="Normal"/>
    <w:next w:val="Normal"/>
    <w:link w:val="Heading1Char"/>
    <w:uiPriority w:val="9"/>
    <w:qFormat/>
    <w:rsid w:val="00A5663A"/>
    <w:pPr>
      <w:keepNext/>
      <w:keepLines/>
      <w:numPr>
        <w:numId w:val="2"/>
      </w:numPr>
      <w:spacing w:before="240" w:after="0"/>
      <w:outlineLvl w:val="0"/>
    </w:pPr>
    <w:rPr>
      <w:rFonts w:eastAsiaTheme="majorEastAsia" w:cstheme="majorBidi"/>
      <w:b/>
      <w:color w:val="20A3A0"/>
      <w:sz w:val="2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4F56A0"/>
    <w:pPr>
      <w:spacing w:after="0"/>
      <w:contextualSpacing/>
    </w:pPr>
    <w:rPr>
      <w:rFonts w:eastAsiaTheme="majorEastAsia" w:cstheme="majorBidi"/>
      <w:b/>
      <w:color w:val="20A3A0"/>
      <w:spacing w:val="-10"/>
      <w:kern w:val="28"/>
      <w:sz w:val="34"/>
      <w:szCs w:val="56"/>
    </w:rPr>
  </w:style>
  <w:style w:type="paragraph" w:styleId="Header">
    <w:name w:val="header"/>
    <w:basedOn w:val="Normal"/>
    <w:link w:val="HeaderChar"/>
    <w:uiPriority w:val="99"/>
    <w:unhideWhenUsed/>
    <w:rsid w:val="00D71A32"/>
    <w:pPr>
      <w:tabs>
        <w:tab w:val="center" w:pos="4513"/>
        <w:tab w:val="right" w:pos="9026"/>
      </w:tabs>
      <w:spacing w:after="0"/>
    </w:pPr>
  </w:style>
  <w:style w:type="character" w:customStyle="1" w:styleId="HeaderChar">
    <w:name w:val="Header Char"/>
    <w:basedOn w:val="DefaultParagraphFont"/>
    <w:link w:val="Header"/>
    <w:uiPriority w:val="99"/>
    <w:rsid w:val="00D71A32"/>
  </w:style>
  <w:style w:type="paragraph" w:styleId="Footer">
    <w:name w:val="footer"/>
    <w:basedOn w:val="Normal"/>
    <w:link w:val="FooterChar"/>
    <w:uiPriority w:val="99"/>
    <w:unhideWhenUsed/>
    <w:rsid w:val="00D71A32"/>
    <w:pPr>
      <w:tabs>
        <w:tab w:val="center" w:pos="4513"/>
        <w:tab w:val="right" w:pos="9026"/>
      </w:tabs>
      <w:spacing w:after="0"/>
    </w:pPr>
  </w:style>
  <w:style w:type="character" w:customStyle="1" w:styleId="FooterChar">
    <w:name w:val="Footer Char"/>
    <w:basedOn w:val="DefaultParagraphFont"/>
    <w:link w:val="Footer"/>
    <w:uiPriority w:val="99"/>
    <w:rsid w:val="00D71A32"/>
  </w:style>
  <w:style w:type="character" w:styleId="Hyperlink">
    <w:name w:val="Hyperlink"/>
    <w:basedOn w:val="DefaultParagraphFont"/>
    <w:uiPriority w:val="99"/>
    <w:unhideWhenUsed/>
    <w:rsid w:val="0086136B"/>
    <w:rPr>
      <w:color w:val="0563C1" w:themeColor="hyperlink"/>
      <w:u w:val="single"/>
    </w:rPr>
  </w:style>
  <w:style w:type="character" w:styleId="UnresolvedMention">
    <w:name w:val="Unresolved Mention"/>
    <w:basedOn w:val="DefaultParagraphFont"/>
    <w:uiPriority w:val="99"/>
    <w:semiHidden/>
    <w:unhideWhenUsed/>
    <w:rsid w:val="0086136B"/>
    <w:rPr>
      <w:color w:val="605E5C"/>
      <w:shd w:val="clear" w:color="auto" w:fill="E1DFDD"/>
    </w:rPr>
  </w:style>
  <w:style w:type="character" w:customStyle="1" w:styleId="TitleChar">
    <w:name w:val="Title Char"/>
    <w:basedOn w:val="DefaultParagraphFont"/>
    <w:link w:val="Title"/>
    <w:uiPriority w:val="10"/>
    <w:rsid w:val="004F56A0"/>
    <w:rPr>
      <w:rFonts w:ascii="Arial Nova Light" w:eastAsiaTheme="majorEastAsia" w:hAnsi="Arial Nova Light" w:cstheme="majorBidi"/>
      <w:b/>
      <w:color w:val="20A3A0"/>
      <w:spacing w:val="-10"/>
      <w:kern w:val="28"/>
      <w:sz w:val="34"/>
      <w:szCs w:val="56"/>
    </w:rPr>
  </w:style>
  <w:style w:type="paragraph" w:customStyle="1" w:styleId="ArticleType">
    <w:name w:val="Article Type"/>
    <w:basedOn w:val="Normal"/>
    <w:link w:val="ArticleTypeChar"/>
    <w:qFormat/>
    <w:rsid w:val="002A720F"/>
    <w:rPr>
      <w:b/>
      <w:color w:val="FF0066"/>
      <w:sz w:val="24"/>
    </w:rPr>
  </w:style>
  <w:style w:type="paragraph" w:customStyle="1" w:styleId="AuthorName">
    <w:name w:val="Author Name"/>
    <w:basedOn w:val="Normal"/>
    <w:link w:val="AuthorNameChar"/>
    <w:qFormat/>
    <w:rsid w:val="000B5E93"/>
    <w:rPr>
      <w:b/>
      <w:sz w:val="24"/>
    </w:rPr>
  </w:style>
  <w:style w:type="character" w:customStyle="1" w:styleId="ArticleTypeChar">
    <w:name w:val="Article Type Char"/>
    <w:basedOn w:val="DefaultParagraphFont"/>
    <w:link w:val="ArticleType"/>
    <w:rsid w:val="002A720F"/>
    <w:rPr>
      <w:rFonts w:ascii="Arial" w:hAnsi="Arial" w:cs="Arial"/>
      <w:b/>
      <w:color w:val="FF0066"/>
      <w:sz w:val="24"/>
      <w:szCs w:val="20"/>
    </w:rPr>
  </w:style>
  <w:style w:type="paragraph" w:customStyle="1" w:styleId="AuthorAffiliation">
    <w:name w:val="Author Affiliation"/>
    <w:basedOn w:val="Normal"/>
    <w:link w:val="AuthorAffiliationChar"/>
    <w:qFormat/>
    <w:rsid w:val="00397BC6"/>
    <w:pPr>
      <w:spacing w:after="0"/>
    </w:pPr>
  </w:style>
  <w:style w:type="character" w:customStyle="1" w:styleId="AuthorNameChar">
    <w:name w:val="Author Name Char"/>
    <w:basedOn w:val="DefaultParagraphFont"/>
    <w:link w:val="AuthorName"/>
    <w:rsid w:val="000B5E93"/>
    <w:rPr>
      <w:rFonts w:ascii="Arial Nova Light" w:hAnsi="Arial Nova Light" w:cs="Arial"/>
      <w:b/>
      <w:color w:val="000000" w:themeColor="text1"/>
      <w:sz w:val="24"/>
      <w:szCs w:val="20"/>
    </w:rPr>
  </w:style>
  <w:style w:type="paragraph" w:customStyle="1" w:styleId="ArticleInfo">
    <w:name w:val="Article Info"/>
    <w:basedOn w:val="Normal"/>
    <w:link w:val="ArticleInfoChar"/>
    <w:qFormat/>
    <w:rsid w:val="006C3B02"/>
    <w:rPr>
      <w:sz w:val="18"/>
    </w:rPr>
  </w:style>
  <w:style w:type="character" w:customStyle="1" w:styleId="AuthorAffiliationChar">
    <w:name w:val="Author Affiliation Char"/>
    <w:basedOn w:val="DefaultParagraphFont"/>
    <w:link w:val="AuthorAffiliation"/>
    <w:rsid w:val="00397BC6"/>
    <w:rPr>
      <w:rFonts w:ascii="Arial" w:hAnsi="Arial"/>
      <w:color w:val="000000" w:themeColor="text1"/>
      <w:sz w:val="20"/>
    </w:rPr>
  </w:style>
  <w:style w:type="table" w:styleId="TableGrid">
    <w:name w:val="Table Grid"/>
    <w:basedOn w:val="TableNormal"/>
    <w:uiPriority w:val="39"/>
    <w:rsid w:val="00D86C6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InfoChar">
    <w:name w:val="Article Info Char"/>
    <w:basedOn w:val="DefaultParagraphFont"/>
    <w:link w:val="ArticleInfo"/>
    <w:rsid w:val="006C3B02"/>
    <w:rPr>
      <w:rFonts w:ascii="Arial" w:hAnsi="Arial"/>
      <w:color w:val="000000" w:themeColor="text1"/>
      <w:sz w:val="18"/>
    </w:rPr>
  </w:style>
  <w:style w:type="paragraph" w:customStyle="1" w:styleId="Abstract">
    <w:name w:val="Abstract"/>
    <w:basedOn w:val="Normal"/>
    <w:link w:val="AbstractChar"/>
    <w:qFormat/>
    <w:rsid w:val="00C81C98"/>
    <w:rPr>
      <w:b/>
      <w:color w:val="20A3A0"/>
      <w:sz w:val="22"/>
    </w:rPr>
  </w:style>
  <w:style w:type="paragraph" w:customStyle="1" w:styleId="Abstracts">
    <w:name w:val="Abstracts"/>
    <w:basedOn w:val="Abstract"/>
    <w:link w:val="AbstractsChar"/>
    <w:qFormat/>
    <w:rsid w:val="00C81C98"/>
    <w:pPr>
      <w:jc w:val="both"/>
    </w:pPr>
    <w:rPr>
      <w:b w:val="0"/>
      <w:color w:val="auto"/>
      <w:sz w:val="20"/>
    </w:rPr>
  </w:style>
  <w:style w:type="character" w:customStyle="1" w:styleId="AbstractChar">
    <w:name w:val="Abstract Char"/>
    <w:basedOn w:val="DefaultParagraphFont"/>
    <w:link w:val="Abstract"/>
    <w:rsid w:val="00C81C98"/>
    <w:rPr>
      <w:rFonts w:ascii="Arial" w:hAnsi="Arial" w:cs="Arial"/>
      <w:b/>
      <w:color w:val="20A3A0"/>
    </w:rPr>
  </w:style>
  <w:style w:type="character" w:customStyle="1" w:styleId="Heading1Char">
    <w:name w:val="Heading 1 Char"/>
    <w:basedOn w:val="DefaultParagraphFont"/>
    <w:link w:val="Heading1"/>
    <w:uiPriority w:val="9"/>
    <w:rsid w:val="00A5663A"/>
    <w:rPr>
      <w:rFonts w:ascii="Arial" w:eastAsiaTheme="majorEastAsia" w:hAnsi="Arial" w:cstheme="majorBidi"/>
      <w:b/>
      <w:color w:val="20A3A0"/>
      <w:szCs w:val="32"/>
    </w:rPr>
  </w:style>
  <w:style w:type="character" w:customStyle="1" w:styleId="AbstractsChar">
    <w:name w:val="Abstracts Char"/>
    <w:basedOn w:val="AbstractChar"/>
    <w:link w:val="Abstracts"/>
    <w:rsid w:val="00C81C98"/>
    <w:rPr>
      <w:rFonts w:ascii="Arial" w:hAnsi="Arial" w:cs="Arial"/>
      <w:b w:val="0"/>
      <w:color w:val="20A3A0"/>
      <w:sz w:val="20"/>
      <w:szCs w:val="20"/>
    </w:rPr>
  </w:style>
  <w:style w:type="paragraph" w:customStyle="1" w:styleId="Cite">
    <w:name w:val="Cite"/>
    <w:basedOn w:val="Normal"/>
    <w:link w:val="CiteChar"/>
    <w:qFormat/>
    <w:rsid w:val="00151B73"/>
    <w:rPr>
      <w:b/>
      <w:sz w:val="18"/>
      <w:szCs w:val="18"/>
    </w:rPr>
  </w:style>
  <w:style w:type="character" w:customStyle="1" w:styleId="CiteChar">
    <w:name w:val="Cite Char"/>
    <w:basedOn w:val="DefaultParagraphFont"/>
    <w:link w:val="Cite"/>
    <w:rsid w:val="00151B73"/>
    <w:rPr>
      <w:rFonts w:ascii="Arial" w:hAnsi="Arial" w:cs="Arial"/>
      <w:b/>
      <w:color w:val="000000" w:themeColor="text1"/>
      <w:sz w:val="18"/>
      <w:szCs w:val="18"/>
    </w:rPr>
  </w:style>
  <w:style w:type="paragraph" w:customStyle="1" w:styleId="TextArticle">
    <w:name w:val="Text Article"/>
    <w:basedOn w:val="Normal"/>
    <w:link w:val="TextArticleChar"/>
    <w:qFormat/>
    <w:rsid w:val="002B10A7"/>
    <w:pPr>
      <w:ind w:firstLine="567"/>
      <w:jc w:val="both"/>
    </w:pPr>
  </w:style>
  <w:style w:type="character" w:customStyle="1" w:styleId="TextArticleChar">
    <w:name w:val="Text Article Char"/>
    <w:basedOn w:val="DefaultParagraphFont"/>
    <w:link w:val="TextArticle"/>
    <w:rsid w:val="002B10A7"/>
    <w:rPr>
      <w:rFonts w:ascii="Arial" w:hAnsi="Arial"/>
      <w:color w:val="000000" w:themeColor="text1"/>
      <w:sz w:val="20"/>
    </w:rPr>
  </w:style>
  <w:style w:type="paragraph" w:styleId="ListParagraph">
    <w:name w:val="List Paragraph"/>
    <w:basedOn w:val="Normal"/>
    <w:uiPriority w:val="34"/>
    <w:qFormat/>
    <w:rsid w:val="00ED5C32"/>
    <w:pPr>
      <w:ind w:left="720"/>
      <w:contextualSpacing/>
    </w:pPr>
  </w:style>
  <w:style w:type="character" w:styleId="CommentReference">
    <w:name w:val="annotation reference"/>
    <w:basedOn w:val="DefaultParagraphFont"/>
    <w:uiPriority w:val="99"/>
    <w:semiHidden/>
    <w:unhideWhenUsed/>
    <w:rsid w:val="00E01411"/>
    <w:rPr>
      <w:sz w:val="16"/>
      <w:szCs w:val="16"/>
    </w:rPr>
  </w:style>
  <w:style w:type="paragraph" w:styleId="CommentText">
    <w:name w:val="annotation text"/>
    <w:basedOn w:val="Normal"/>
    <w:link w:val="CommentTextChar"/>
    <w:uiPriority w:val="99"/>
    <w:unhideWhenUsed/>
    <w:rsid w:val="00E01411"/>
    <w:pPr>
      <w:jc w:val="both"/>
    </w:pPr>
  </w:style>
  <w:style w:type="character" w:customStyle="1" w:styleId="CommentTextChar">
    <w:name w:val="Comment Text Char"/>
    <w:basedOn w:val="DefaultParagraphFont"/>
    <w:link w:val="CommentText"/>
    <w:uiPriority w:val="99"/>
    <w:rsid w:val="00E01411"/>
    <w:rPr>
      <w:rFonts w:ascii="Arial" w:hAnsi="Arial"/>
      <w:color w:val="000000" w:themeColor="text1"/>
      <w:sz w:val="20"/>
      <w:szCs w:val="20"/>
    </w:rPr>
  </w:style>
  <w:style w:type="paragraph" w:styleId="BalloonText">
    <w:name w:val="Balloon Text"/>
    <w:basedOn w:val="Normal"/>
    <w:link w:val="BalloonTextChar"/>
    <w:uiPriority w:val="99"/>
    <w:semiHidden/>
    <w:unhideWhenUsed/>
    <w:rsid w:val="00E0141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1411"/>
    <w:rPr>
      <w:rFonts w:ascii="Segoe UI" w:hAnsi="Segoe UI" w:cs="Segoe UI"/>
      <w:color w:val="000000" w:themeColor="text1"/>
      <w:sz w:val="18"/>
      <w:szCs w:val="18"/>
    </w:rPr>
  </w:style>
  <w:style w:type="character" w:styleId="PlaceholderText">
    <w:name w:val="Placeholder Text"/>
    <w:basedOn w:val="DefaultParagraphFont"/>
    <w:uiPriority w:val="99"/>
    <w:semiHidden/>
    <w:rsid w:val="004E305F"/>
    <w:rPr>
      <w:color w:val="808080"/>
    </w:rPr>
  </w:style>
  <w:style w:type="character" w:customStyle="1" w:styleId="fontstyle01">
    <w:name w:val="fontstyle01"/>
    <w:basedOn w:val="DefaultParagraphFont"/>
    <w:rsid w:val="007B7FEE"/>
    <w:rPr>
      <w:rFonts w:ascii="STIXMathCalligraphy-Regular" w:hAnsi="STIXMathCalligraphy-Regular" w:hint="default"/>
      <w:b w:val="0"/>
      <w:bCs w:val="0"/>
      <w:i w:val="0"/>
      <w:iCs w:val="0"/>
      <w:color w:val="000000"/>
      <w:sz w:val="14"/>
      <w:szCs w:val="14"/>
    </w:rPr>
  </w:style>
  <w:style w:type="character" w:customStyle="1" w:styleId="fontstyle11">
    <w:name w:val="fontstyle11"/>
    <w:basedOn w:val="DefaultParagraphFont"/>
    <w:rsid w:val="007B7FEE"/>
    <w:rPr>
      <w:rFonts w:ascii="STIXMath-Italic" w:hAnsi="STIXMath-Italic" w:hint="default"/>
      <w:b w:val="0"/>
      <w:bCs w:val="0"/>
      <w:i/>
      <w:iCs/>
      <w:color w:val="000000"/>
      <w:sz w:val="10"/>
      <w:szCs w:val="10"/>
    </w:rPr>
  </w:style>
  <w:style w:type="character" w:customStyle="1" w:styleId="fontstyle31">
    <w:name w:val="fontstyle31"/>
    <w:basedOn w:val="DefaultParagraphFont"/>
    <w:rsid w:val="007B7FEE"/>
    <w:rPr>
      <w:rFonts w:ascii="STIXMathSans-Regular" w:hAnsi="STIXMathSans-Regular" w:hint="default"/>
      <w:b w:val="0"/>
      <w:bCs w:val="0"/>
      <w:i w:val="0"/>
      <w:iCs w:val="0"/>
      <w:color w:val="000000"/>
      <w:sz w:val="14"/>
      <w:szCs w:val="14"/>
    </w:rPr>
  </w:style>
  <w:style w:type="character" w:customStyle="1" w:styleId="fontstyle41">
    <w:name w:val="fontstyle41"/>
    <w:basedOn w:val="DefaultParagraphFont"/>
    <w:rsid w:val="007B7FEE"/>
    <w:rPr>
      <w:rFonts w:ascii="CharisSIL-Bold" w:hAnsi="CharisSIL-Bold" w:hint="default"/>
      <w:b/>
      <w:bCs/>
      <w:i w:val="0"/>
      <w:iCs w:val="0"/>
      <w:color w:val="000000"/>
      <w:sz w:val="14"/>
      <w:szCs w:val="14"/>
    </w:rPr>
  </w:style>
  <w:style w:type="character" w:customStyle="1" w:styleId="fontstyle51">
    <w:name w:val="fontstyle51"/>
    <w:basedOn w:val="DefaultParagraphFont"/>
    <w:rsid w:val="007B7FEE"/>
    <w:rPr>
      <w:rFonts w:ascii="STIXMath-Regular" w:hAnsi="STIXMath-Regular" w:hint="default"/>
      <w:b w:val="0"/>
      <w:bCs w:val="0"/>
      <w:i w:val="0"/>
      <w:iCs w:val="0"/>
      <w:color w:val="000000"/>
      <w:sz w:val="14"/>
      <w:szCs w:val="14"/>
    </w:rPr>
  </w:style>
  <w:style w:type="character" w:customStyle="1" w:styleId="fontstyle21">
    <w:name w:val="fontstyle21"/>
    <w:basedOn w:val="DefaultParagraphFont"/>
    <w:rsid w:val="007B7FEE"/>
    <w:rPr>
      <w:rFonts w:ascii="STIXMath-Regular" w:hAnsi="STIXMath-Regular" w:hint="default"/>
      <w:b w:val="0"/>
      <w:bCs w:val="0"/>
      <w:i w:val="0"/>
      <w:iCs w:val="0"/>
      <w:color w:val="000000"/>
      <w:sz w:val="14"/>
      <w:szCs w:val="14"/>
    </w:rPr>
  </w:style>
  <w:style w:type="paragraph" w:styleId="CommentSubject">
    <w:name w:val="annotation subject"/>
    <w:basedOn w:val="CommentText"/>
    <w:next w:val="CommentText"/>
    <w:link w:val="CommentSubjectChar"/>
    <w:uiPriority w:val="99"/>
    <w:semiHidden/>
    <w:unhideWhenUsed/>
    <w:rsid w:val="001113A7"/>
    <w:pPr>
      <w:jc w:val="left"/>
    </w:pPr>
    <w:rPr>
      <w:rFonts w:ascii="Arial Nova Light" w:hAnsi="Arial Nova Light"/>
      <w:b/>
      <w:bCs/>
    </w:rPr>
  </w:style>
  <w:style w:type="character" w:customStyle="1" w:styleId="CommentSubjectChar">
    <w:name w:val="Comment Subject Char"/>
    <w:basedOn w:val="CommentTextChar"/>
    <w:link w:val="CommentSubject"/>
    <w:uiPriority w:val="99"/>
    <w:semiHidden/>
    <w:rsid w:val="001113A7"/>
    <w:rPr>
      <w:rFonts w:ascii="Arial Nova Light" w:hAnsi="Arial Nova Light"/>
      <w:b/>
      <w:bCs/>
      <w:color w:val="000000" w:themeColor="text1"/>
      <w:sz w:val="20"/>
      <w:szCs w:val="20"/>
    </w:rPr>
  </w:style>
  <w:style w:type="paragraph" w:styleId="Caption">
    <w:name w:val="caption"/>
    <w:basedOn w:val="Normal"/>
    <w:next w:val="Normal"/>
    <w:uiPriority w:val="35"/>
    <w:semiHidden/>
    <w:unhideWhenUsed/>
    <w:qFormat/>
    <w:rsid w:val="001D0D47"/>
    <w:pPr>
      <w:spacing w:after="200"/>
    </w:pPr>
    <w:rPr>
      <w:rFonts w:asciiTheme="minorHAnsi" w:hAnsiTheme="minorHAnsi"/>
      <w:i/>
      <w:iCs/>
      <w:color w:val="44546A" w:themeColor="text2"/>
      <w:sz w:val="18"/>
      <w:szCs w:val="18"/>
      <w:lang w:val="en-US"/>
    </w:rPr>
  </w:style>
  <w:style w:type="paragraph" w:styleId="FootnoteText">
    <w:name w:val="footnote text"/>
    <w:basedOn w:val="Normal"/>
    <w:link w:val="FootnoteTextChar"/>
    <w:uiPriority w:val="99"/>
    <w:semiHidden/>
    <w:unhideWhenUsed/>
    <w:rsid w:val="00A20FAF"/>
    <w:pPr>
      <w:spacing w:after="0"/>
    </w:pPr>
  </w:style>
  <w:style w:type="character" w:customStyle="1" w:styleId="FootnoteTextChar">
    <w:name w:val="Footnote Text Char"/>
    <w:basedOn w:val="DefaultParagraphFont"/>
    <w:link w:val="FootnoteText"/>
    <w:uiPriority w:val="99"/>
    <w:semiHidden/>
    <w:rsid w:val="00A20FAF"/>
    <w:rPr>
      <w:rFonts w:ascii="Arial Nova Light" w:hAnsi="Arial Nova Light"/>
      <w:color w:val="000000" w:themeColor="text1"/>
      <w:sz w:val="20"/>
      <w:szCs w:val="20"/>
    </w:rPr>
  </w:style>
  <w:style w:type="character" w:styleId="FootnoteReference">
    <w:name w:val="footnote reference"/>
    <w:basedOn w:val="DefaultParagraphFont"/>
    <w:uiPriority w:val="99"/>
    <w:semiHidden/>
    <w:unhideWhenUsed/>
    <w:rsid w:val="00A20FAF"/>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pPr>
    <w:tblPr>
      <w:tblStyleRowBandSize w:val="1"/>
      <w:tblStyleColBandSize w:val="1"/>
    </w:tblPr>
  </w:style>
  <w:style w:type="table" w:customStyle="1" w:styleId="a0">
    <w:basedOn w:val="TableNormal"/>
    <w:pPr>
      <w:spacing w:after="0"/>
    </w:pPr>
    <w:tblPr>
      <w:tblStyleRowBandSize w:val="1"/>
      <w:tblStyleColBandSize w:val="1"/>
    </w:tblPr>
  </w:style>
  <w:style w:type="table" w:customStyle="1" w:styleId="a1">
    <w:basedOn w:val="TableNormal"/>
    <w:pPr>
      <w:spacing w:after="0"/>
    </w:pPr>
    <w:tblPr>
      <w:tblStyleRowBandSize w:val="1"/>
      <w:tblStyleColBandSize w:val="1"/>
    </w:tblPr>
  </w:style>
  <w:style w:type="table" w:customStyle="1" w:styleId="a2">
    <w:basedOn w:val="TableNormal"/>
    <w:pPr>
      <w:spacing w:after="0"/>
    </w:pPr>
    <w:tblPr>
      <w:tblStyleRowBandSize w:val="1"/>
      <w:tblStyleColBandSize w:val="1"/>
    </w:tblPr>
  </w:style>
  <w:style w:type="table" w:customStyle="1" w:styleId="a3">
    <w:basedOn w:val="TableNormal"/>
    <w:pPr>
      <w:spacing w:after="0"/>
    </w:pPr>
    <w:tblPr>
      <w:tblStyleRowBandSize w:val="1"/>
      <w:tblStyleColBandSize w:val="1"/>
    </w:tblPr>
  </w:style>
  <w:style w:type="table" w:customStyle="1" w:styleId="a4">
    <w:basedOn w:val="TableNormal"/>
    <w:pPr>
      <w:spacing w:after="0"/>
    </w:pPr>
    <w:tblPr>
      <w:tblStyleRowBandSize w:val="1"/>
      <w:tblStyleColBandSize w:val="1"/>
    </w:tblPr>
  </w:style>
  <w:style w:type="table" w:customStyle="1" w:styleId="a5">
    <w:basedOn w:val="TableNormal"/>
    <w:pPr>
      <w:spacing w:after="0"/>
    </w:pPr>
    <w:tblPr>
      <w:tblStyleRowBandSize w:val="1"/>
      <w:tblStyleColBandSize w:val="1"/>
    </w:tblPr>
  </w:style>
  <w:style w:type="table" w:customStyle="1" w:styleId="a6">
    <w:basedOn w:val="TableNormal"/>
    <w:pPr>
      <w:spacing w:after="0"/>
    </w:pPr>
    <w:tblPr>
      <w:tblStyleRowBandSize w:val="1"/>
      <w:tblStyleColBandSize w:val="1"/>
    </w:tblPr>
  </w:style>
  <w:style w:type="table" w:customStyle="1" w:styleId="a7">
    <w:basedOn w:val="TableNormal"/>
    <w:pPr>
      <w:spacing w:after="0"/>
    </w:pPr>
    <w:tblPr>
      <w:tblStyleRowBandSize w:val="1"/>
      <w:tblStyleColBandSize w:val="1"/>
    </w:tblPr>
  </w:style>
  <w:style w:type="table" w:customStyle="1" w:styleId="a8">
    <w:basedOn w:val="TableNormal"/>
    <w:pPr>
      <w:spacing w:after="0"/>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RNgywKewUifSM8JKyhc9jQQo4Q==">CgMxLjAyDmgudmg4MXRjZDNlZHMxMghoLmdqZGd4czgAciExQ2dnZzVHU0U4ZlVYVmlGVUlJTFhkSG00VWlkOHVfN2Q=</go:docsCustomData>
</go:gDocsCustomXmlDataStorage>
</file>

<file path=customXml/itemProps1.xml><?xml version="1.0" encoding="utf-8"?>
<ds:datastoreItem xmlns:ds="http://schemas.openxmlformats.org/officeDocument/2006/customXml" ds:itemID="{867FB735-6E03-41DF-A59D-F1C7460744D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5331</Words>
  <Characters>30392</Characters>
  <Application>Microsoft Office Word</Application>
  <DocSecurity>0</DocSecurity>
  <Lines>253</Lines>
  <Paragraphs>71</Paragraphs>
  <ScaleCrop>false</ScaleCrop>
  <Company/>
  <LinksUpToDate>false</LinksUpToDate>
  <CharactersWithSpaces>35652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Siti Mutrofin</dc:creator>
  <cp:lastModifiedBy>Moch Mahsun</cp:lastModifiedBy>
  <cp:revision>2</cp:revision>
  <dcterms:created xsi:type="dcterms:W3CDTF">2026-09-23T13:12:00Z</dcterms:created>
  <dcterms:modified xsi:type="dcterms:W3CDTF">2026-09-23T13:12:00Z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5ddbd61a-f009-3382-8543-47b4e5f08d28</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http://www.zotero.org/styles/chicago-fullnote-bibliography</vt:lpwstr>
  </property>
  <property fmtid="{D5CDD505-2E9C-101B-9397-08002B2CF9AE}" pid="10" name="Mendeley Recent Style Name 2_1">
    <vt:lpwstr>Chicago Manual of Style 17th edition (full note)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11th edition - Harvard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9th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http://www.zotero.org/styles/turabian-fullnote-bibliography</vt:lpwstr>
  </property>
  <property fmtid="{D5CDD505-2E9C-101B-9397-08002B2CF9AE}" pid="22" name="Mendeley Recent Style Name 8_1">
    <vt:lpwstr>Turabian 8th edition (full note)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5a6b2946-f5e0-497c-883b-94522f31400c</vt:lpwstr>
  </property>
</Properties>
</file>